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D0923" w14:textId="77777777" w:rsidR="00982CC5" w:rsidRPr="00CF688D" w:rsidRDefault="00982CC5" w:rsidP="00982CC5">
      <w:pPr>
        <w:jc w:val="right"/>
        <w:rPr>
          <w:rFonts w:hAnsi="ＭＳ 明朝"/>
          <w:color w:val="000000" w:themeColor="text1"/>
        </w:rPr>
      </w:pPr>
      <w:r w:rsidRPr="00CF688D">
        <w:rPr>
          <w:rFonts w:hAnsi="ＭＳ 明朝"/>
          <w:color w:val="000000" w:themeColor="text1"/>
        </w:rPr>
        <w:t>別添４</w:t>
      </w:r>
    </w:p>
    <w:p w14:paraId="04957C96" w14:textId="7D76AFEC" w:rsidR="00982CC5" w:rsidRPr="00CF688D" w:rsidRDefault="00982CC5" w:rsidP="00982CC5">
      <w:pPr>
        <w:jc w:val="center"/>
        <w:rPr>
          <w:rFonts w:hAnsi="ＭＳ 明朝"/>
          <w:color w:val="000000" w:themeColor="text1"/>
        </w:rPr>
      </w:pPr>
      <w:r>
        <w:rPr>
          <w:rFonts w:hAnsi="ＭＳ 明朝"/>
          <w:color w:val="000000" w:themeColor="text1"/>
        </w:rPr>
        <w:t>電気の供給を受ける契約における総合評価落札方式の</w:t>
      </w:r>
      <w:r w:rsidR="00C625B3">
        <w:rPr>
          <w:rFonts w:hAnsi="ＭＳ 明朝" w:hint="eastAsia"/>
          <w:color w:val="000000" w:themeColor="text1"/>
        </w:rPr>
        <w:t>評価方法</w:t>
      </w:r>
    </w:p>
    <w:p w14:paraId="1FBFB4FE" w14:textId="7482B8F0" w:rsidR="004C6B7C" w:rsidRDefault="004C6B7C" w:rsidP="00DC2F0F">
      <w:pPr>
        <w:pStyle w:val="a9"/>
        <w:numPr>
          <w:ilvl w:val="0"/>
          <w:numId w:val="1"/>
        </w:numPr>
        <w:spacing w:line="320" w:lineRule="exact"/>
      </w:pPr>
      <w:r>
        <w:rPr>
          <w:rFonts w:hint="eastAsia"/>
        </w:rPr>
        <w:t>落札方式</w:t>
      </w:r>
    </w:p>
    <w:p w14:paraId="432B705F" w14:textId="3108F050" w:rsidR="004C6B7C" w:rsidRDefault="004C6B7C" w:rsidP="00DC2F0F">
      <w:pPr>
        <w:pStyle w:val="a9"/>
        <w:spacing w:line="320" w:lineRule="exact"/>
        <w:ind w:left="440"/>
      </w:pPr>
      <w:r>
        <w:rPr>
          <w:rFonts w:hint="eastAsia"/>
        </w:rPr>
        <w:t>落札者の決定は、次の要件ア</w:t>
      </w:r>
      <w:r w:rsidR="00DC2F0F">
        <w:rPr>
          <w:rFonts w:hint="eastAsia"/>
        </w:rPr>
        <w:t>～エの全て</w:t>
      </w:r>
      <w:r>
        <w:rPr>
          <w:rFonts w:hint="eastAsia"/>
        </w:rPr>
        <w:t>に該当する者のうち、２の「総合評価点の計算方法」によって得られた総合評価点が最も高い者とする。</w:t>
      </w:r>
    </w:p>
    <w:p w14:paraId="679B4182" w14:textId="11048FE2" w:rsidR="00872716" w:rsidRDefault="00872716" w:rsidP="00DC2F0F">
      <w:pPr>
        <w:spacing w:line="320" w:lineRule="exact"/>
      </w:pPr>
      <w:r>
        <w:rPr>
          <w:rFonts w:hint="eastAsia"/>
        </w:rPr>
        <w:t>ア　入札価格が予定価格の制限の範囲内であること。</w:t>
      </w:r>
    </w:p>
    <w:p w14:paraId="524D35D2" w14:textId="03FC7ADB" w:rsidR="00872716" w:rsidRDefault="00872716" w:rsidP="00DC2F0F">
      <w:pPr>
        <w:spacing w:line="320" w:lineRule="exact"/>
      </w:pPr>
      <w:r>
        <w:rPr>
          <w:rFonts w:hint="eastAsia"/>
        </w:rPr>
        <w:t>イ　電源構成、非化石証書の使用状況及び二酸化炭素排出係数の情報を開示していること。</w:t>
      </w:r>
    </w:p>
    <w:p w14:paraId="7F35309A" w14:textId="237B4E7E" w:rsidR="00872716" w:rsidRDefault="00872716" w:rsidP="00DC2F0F">
      <w:pPr>
        <w:spacing w:line="320" w:lineRule="exact"/>
      </w:pPr>
      <w:r>
        <w:rPr>
          <w:rFonts w:hint="eastAsia"/>
        </w:rPr>
        <w:t xml:space="preserve">ウ　</w:t>
      </w:r>
      <w:r w:rsidR="0032764E">
        <w:rPr>
          <w:rFonts w:hint="eastAsia"/>
        </w:rPr>
        <w:t>小売電気事業者の</w:t>
      </w:r>
      <w:r>
        <w:rPr>
          <w:rFonts w:hint="eastAsia"/>
        </w:rPr>
        <w:t>事業者全体</w:t>
      </w:r>
      <w:r w:rsidR="0032764E">
        <w:rPr>
          <w:rFonts w:hint="eastAsia"/>
        </w:rPr>
        <w:t>又は本契約で提供される電力</w:t>
      </w:r>
      <w:r w:rsidR="00E06BCF">
        <w:rPr>
          <w:rFonts w:hint="eastAsia"/>
        </w:rPr>
        <w:t>（以下「調達電力」という。）</w:t>
      </w:r>
      <w:r>
        <w:rPr>
          <w:rFonts w:hint="eastAsia"/>
        </w:rPr>
        <w:t>の</w:t>
      </w:r>
      <w:r w:rsidR="0032764E">
        <w:rPr>
          <w:rFonts w:hint="eastAsia"/>
        </w:rPr>
        <w:t>調整後</w:t>
      </w:r>
      <w:r>
        <w:rPr>
          <w:rFonts w:hint="eastAsia"/>
        </w:rPr>
        <w:t>二酸化炭素排出係数</w:t>
      </w:r>
      <w:r w:rsidR="0032764E">
        <w:rPr>
          <w:rFonts w:hint="eastAsia"/>
        </w:rPr>
        <w:t>（地球温暖化対策の推進に関する法律（以下「温対法」という。）に基づき環境大臣及び経済産業大臣が公表したもの又は温対法に基づき小売電気事業者が算定した最新のもの）</w:t>
      </w:r>
      <w:r w:rsidR="00DC2F0F">
        <w:rPr>
          <w:rFonts w:hint="eastAsia"/>
        </w:rPr>
        <w:t>が</w:t>
      </w:r>
      <w:r w:rsidR="0032764E">
        <w:rPr>
          <w:rFonts w:hint="eastAsia"/>
        </w:rPr>
        <w:t>、事業者全体であれば0.435 kg-CO2/kWh以下、</w:t>
      </w:r>
      <w:r w:rsidR="000F1F25">
        <w:rPr>
          <w:rFonts w:hint="eastAsia"/>
        </w:rPr>
        <w:t>調達</w:t>
      </w:r>
      <w:r w:rsidR="0032764E">
        <w:rPr>
          <w:rFonts w:hint="eastAsia"/>
        </w:rPr>
        <w:t>電力であれば0.342 kg-CO2/kWh以下</w:t>
      </w:r>
      <w:r w:rsidR="00E06BCF">
        <w:rPr>
          <w:rFonts w:hint="eastAsia"/>
        </w:rPr>
        <w:t>であること。</w:t>
      </w:r>
    </w:p>
    <w:p w14:paraId="3485DA0A" w14:textId="352D9B67" w:rsidR="00DC2F0F" w:rsidRDefault="00DC2F0F" w:rsidP="00DC2F0F">
      <w:pPr>
        <w:spacing w:line="320" w:lineRule="exact"/>
      </w:pPr>
      <w:r>
        <w:rPr>
          <w:rFonts w:hint="eastAsia"/>
        </w:rPr>
        <w:t>エ　調達電力に占める再生可能エネルギー</w:t>
      </w:r>
      <w:r w:rsidR="006D231C">
        <w:rPr>
          <w:rFonts w:hint="eastAsia"/>
        </w:rPr>
        <w:t>（以下「再エネ」という。）</w:t>
      </w:r>
      <w:r>
        <w:rPr>
          <w:rFonts w:hint="eastAsia"/>
        </w:rPr>
        <w:t>電気が50%以上であること。</w:t>
      </w:r>
      <w:r w:rsidR="006D231C">
        <w:rPr>
          <w:rFonts w:hint="eastAsia"/>
        </w:rPr>
        <w:t>再エネ電気は再エネ特措法施行規則において規定されている交付金の対象となる再生可能エネルギー源を用いる発電設備（太陽光、風力、水力（30,000kW未満。ただし、揚水発電を含まない。）、地熱及びバイオマス）による電気を評価対象とする。</w:t>
      </w:r>
    </w:p>
    <w:p w14:paraId="657BC938" w14:textId="6FAB07BB" w:rsidR="00DC2F0F" w:rsidRPr="006D231C" w:rsidRDefault="007E5087" w:rsidP="00DC2F0F">
      <w:pPr>
        <w:spacing w:line="320" w:lineRule="exact"/>
      </w:pPr>
      <w:r>
        <w:rPr>
          <w:rFonts w:hint="eastAsia"/>
        </w:rPr>
        <w:t>なお、イ～エ</w:t>
      </w:r>
      <w:r w:rsidR="006229F2">
        <w:rPr>
          <w:rFonts w:hint="eastAsia"/>
        </w:rPr>
        <w:t>の要件については別添３</w:t>
      </w:r>
      <w:r w:rsidR="00F766D5">
        <w:rPr>
          <w:rFonts w:hint="eastAsia"/>
        </w:rPr>
        <w:t>を提出すること。</w:t>
      </w:r>
    </w:p>
    <w:p w14:paraId="4CDFD592" w14:textId="054D9008" w:rsidR="00DC2F0F" w:rsidRDefault="00DC2F0F" w:rsidP="00DC2F0F">
      <w:pPr>
        <w:pStyle w:val="a9"/>
        <w:numPr>
          <w:ilvl w:val="0"/>
          <w:numId w:val="1"/>
        </w:numPr>
        <w:spacing w:line="320" w:lineRule="exact"/>
      </w:pPr>
      <w:r>
        <w:rPr>
          <w:rFonts w:hint="eastAsia"/>
        </w:rPr>
        <w:t>総合評価点の計算方法</w:t>
      </w:r>
    </w:p>
    <w:p w14:paraId="7A2B93CE" w14:textId="2CA34C3A" w:rsidR="00DC2F0F" w:rsidRDefault="00DC2F0F" w:rsidP="00DC2F0F">
      <w:pPr>
        <w:pStyle w:val="a9"/>
        <w:numPr>
          <w:ilvl w:val="0"/>
          <w:numId w:val="2"/>
        </w:numPr>
        <w:spacing w:line="320" w:lineRule="exact"/>
      </w:pPr>
      <w:r>
        <w:rPr>
          <w:rFonts w:hint="eastAsia"/>
        </w:rPr>
        <w:t>入札価格点及び</w:t>
      </w:r>
      <w:r w:rsidR="00E06BCF">
        <w:rPr>
          <w:rFonts w:hint="eastAsia"/>
        </w:rPr>
        <w:t>得点</w:t>
      </w:r>
    </w:p>
    <w:p w14:paraId="08FE85EC" w14:textId="1B5907D3" w:rsidR="00DC2F0F" w:rsidRDefault="00DC2F0F" w:rsidP="00DC2F0F">
      <w:pPr>
        <w:pStyle w:val="a9"/>
        <w:spacing w:line="320" w:lineRule="exact"/>
      </w:pPr>
      <w:r>
        <w:rPr>
          <w:rFonts w:hint="eastAsia"/>
        </w:rPr>
        <w:t>ア　入札価格点については、入札価格を100万円で除して得た値とする。</w:t>
      </w:r>
    </w:p>
    <w:p w14:paraId="389F50A5" w14:textId="5EC57AB3" w:rsidR="0032764E" w:rsidRDefault="00DC2F0F" w:rsidP="0032764E">
      <w:pPr>
        <w:pStyle w:val="a9"/>
        <w:spacing w:line="320" w:lineRule="exact"/>
      </w:pPr>
      <w:r>
        <w:rPr>
          <w:rFonts w:hint="eastAsia"/>
        </w:rPr>
        <w:t xml:space="preserve">イ　</w:t>
      </w:r>
      <w:r w:rsidR="00043F14">
        <w:rPr>
          <w:rFonts w:hint="eastAsia"/>
        </w:rPr>
        <w:t>得点</w:t>
      </w:r>
      <w:r>
        <w:rPr>
          <w:rFonts w:hint="eastAsia"/>
        </w:rPr>
        <w:t>については、</w:t>
      </w:r>
      <w:r w:rsidR="0032764E">
        <w:rPr>
          <w:rFonts w:hint="eastAsia"/>
        </w:rPr>
        <w:t>１「落札方式」のウ及びエを満たしているものに標準点（100点）を与える。</w:t>
      </w:r>
      <w:r w:rsidR="00043F14">
        <w:rPr>
          <w:rFonts w:hint="eastAsia"/>
        </w:rPr>
        <w:t>更に</w:t>
      </w:r>
      <w:r w:rsidR="0032764E">
        <w:rPr>
          <w:rFonts w:hint="eastAsia"/>
        </w:rPr>
        <w:t>３「評価基準」に基づき、評価に応じて得点（以下「加算点」という。）を与える。</w:t>
      </w:r>
      <w:r w:rsidR="00E06BCF">
        <w:rPr>
          <w:rFonts w:hint="eastAsia"/>
        </w:rPr>
        <w:t>なお、加算点の満点は50点とする。</w:t>
      </w:r>
    </w:p>
    <w:p w14:paraId="4A3ADDA3" w14:textId="05476013" w:rsidR="00043F14" w:rsidRDefault="002215E7" w:rsidP="0032764E">
      <w:pPr>
        <w:pStyle w:val="a9"/>
        <w:spacing w:line="320" w:lineRule="exact"/>
      </w:pPr>
      <w:r>
        <w:rPr>
          <w:rFonts w:hint="eastAsia"/>
          <w:noProof/>
        </w:rPr>
        <mc:AlternateContent>
          <mc:Choice Requires="wps">
            <w:drawing>
              <wp:anchor distT="0" distB="0" distL="114300" distR="114300" simplePos="0" relativeHeight="251658241" behindDoc="0" locked="0" layoutInCell="1" allowOverlap="1" wp14:anchorId="5A2D7503" wp14:editId="3F2AAE82">
                <wp:simplePos x="0" y="0"/>
                <wp:positionH relativeFrom="margin">
                  <wp:posOffset>2788752</wp:posOffset>
                </wp:positionH>
                <wp:positionV relativeFrom="paragraph">
                  <wp:posOffset>112061</wp:posOffset>
                </wp:positionV>
                <wp:extent cx="1534795" cy="436245"/>
                <wp:effectExtent l="0" t="0" r="0" b="1905"/>
                <wp:wrapNone/>
                <wp:docPr id="404155190" name="テキスト ボックス 3"/>
                <wp:cNvGraphicFramePr/>
                <a:graphic xmlns:a="http://schemas.openxmlformats.org/drawingml/2006/main">
                  <a:graphicData uri="http://schemas.microsoft.com/office/word/2010/wordprocessingShape">
                    <wps:wsp>
                      <wps:cNvSpPr txBox="1"/>
                      <wps:spPr>
                        <a:xfrm>
                          <a:off x="0" y="0"/>
                          <a:ext cx="1534795" cy="436245"/>
                        </a:xfrm>
                        <a:prstGeom prst="rect">
                          <a:avLst/>
                        </a:prstGeom>
                        <a:noFill/>
                        <a:ln w="6350">
                          <a:noFill/>
                        </a:ln>
                      </wps:spPr>
                      <wps:txbx>
                        <w:txbxContent>
                          <w:p w14:paraId="572ECFD5" w14:textId="0AFB643B" w:rsidR="00E06BCF" w:rsidRPr="00E06BCF" w:rsidRDefault="00043F14">
                            <w:pPr>
                              <w:rPr>
                                <w:sz w:val="24"/>
                              </w:rPr>
                            </w:pPr>
                            <w:r>
                              <w:rPr>
                                <w:rFonts w:hint="eastAsia"/>
                                <w:sz w:val="24"/>
                              </w:rPr>
                              <w:t>得点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D7503" id="_x0000_t202" coordsize="21600,21600" o:spt="202" path="m,l,21600r21600,l21600,xe">
                <v:stroke joinstyle="miter"/>
                <v:path gradientshapeok="t" o:connecttype="rect"/>
              </v:shapetype>
              <v:shape id="テキスト ボックス 3" o:spid="_x0000_s1026" type="#_x0000_t202" style="position:absolute;left:0;text-align:left;margin-left:219.6pt;margin-top:8.8pt;width:120.85pt;height:34.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" filled="f" stroked="f" strokeweight=".5pt">
                <v:textbox>
                  <w:txbxContent>
                    <w:p w14:paraId="572ECFD5" w14:textId="0AFB643B" w:rsidR="00E06BCF" w:rsidRPr="00E06BCF" w:rsidRDefault="00043F14">
                      <w:pPr>
                        <w:rPr>
                          <w:sz w:val="24"/>
                        </w:rPr>
                      </w:pPr>
                      <w:r>
                        <w:rPr>
                          <w:rFonts w:hint="eastAsia"/>
                          <w:sz w:val="24"/>
                        </w:rPr>
                        <w:t>得点</w:t>
                      </w:r>
                    </w:p>
                  </w:txbxContent>
                </v:textbox>
                <w10:wrap anchorx="margin"/>
              </v:shape>
            </w:pict>
          </mc:Fallback>
        </mc:AlternateContent>
      </w:r>
      <w:r w:rsidR="00043F14">
        <w:rPr>
          <w:rFonts w:hint="eastAsia"/>
          <w:noProof/>
        </w:rPr>
        <mc:AlternateContent>
          <mc:Choice Requires="wps">
            <w:drawing>
              <wp:anchor distT="0" distB="0" distL="114300" distR="114300" simplePos="0" relativeHeight="251658240" behindDoc="0" locked="0" layoutInCell="1" allowOverlap="1" wp14:anchorId="79631CE6" wp14:editId="73423916">
                <wp:simplePos x="0" y="0"/>
                <wp:positionH relativeFrom="column">
                  <wp:posOffset>468801</wp:posOffset>
                </wp:positionH>
                <wp:positionV relativeFrom="paragraph">
                  <wp:posOffset>131293</wp:posOffset>
                </wp:positionV>
                <wp:extent cx="4776717" cy="1398744"/>
                <wp:effectExtent l="0" t="0" r="24130" b="11430"/>
                <wp:wrapNone/>
                <wp:docPr id="409054010" name="テキスト ボックス 1"/>
                <wp:cNvGraphicFramePr/>
                <a:graphic xmlns:a="http://schemas.openxmlformats.org/drawingml/2006/main">
                  <a:graphicData uri="http://schemas.microsoft.com/office/word/2010/wordprocessingShape">
                    <wps:wsp>
                      <wps:cNvSpPr txBox="1"/>
                      <wps:spPr>
                        <a:xfrm>
                          <a:off x="0" y="0"/>
                          <a:ext cx="4776717" cy="1398744"/>
                        </a:xfrm>
                        <a:prstGeom prst="rect">
                          <a:avLst/>
                        </a:prstGeom>
                        <a:solidFill>
                          <a:schemeClr val="lt1"/>
                        </a:solidFill>
                        <a:ln w="6350">
                          <a:solidFill>
                            <a:prstClr val="black"/>
                          </a:solidFill>
                        </a:ln>
                      </wps:spPr>
                      <wps:txbx>
                        <w:txbxContent>
                          <w:p w14:paraId="146D10CD" w14:textId="3976F5E4" w:rsidR="00E06BCF" w:rsidRDefault="00E06BCF" w:rsidP="00E06BCF">
                            <w:pPr>
                              <w:spacing w:line="280" w:lineRule="exact"/>
                            </w:pPr>
                            <w:r>
                              <w:rPr>
                                <w:rFonts w:hint="eastAsia"/>
                              </w:rPr>
                              <w:t xml:space="preserve">　　　　　　　　</w:t>
                            </w:r>
                          </w:p>
                          <w:p w14:paraId="226BC7E0" w14:textId="1EEA6ABF" w:rsidR="00E06BCF" w:rsidRDefault="00E06BCF" w:rsidP="002215E7">
                            <w:pPr>
                              <w:spacing w:line="280" w:lineRule="exact"/>
                              <w:ind w:firstLineChars="600" w:firstLine="1320"/>
                            </w:pPr>
                            <w:r>
                              <w:rPr>
                                <w:rFonts w:hint="eastAsia"/>
                              </w:rPr>
                              <w:t>総合評価点＝</w:t>
                            </w:r>
                          </w:p>
                          <w:p w14:paraId="5A66CFD6" w14:textId="77777777" w:rsidR="00E06BCF" w:rsidRDefault="00E06BCF" w:rsidP="00E06BCF">
                            <w:pPr>
                              <w:spacing w:line="280" w:lineRule="exact"/>
                            </w:pPr>
                            <w:r>
                              <w:rPr>
                                <w:rFonts w:hint="eastAsia"/>
                              </w:rPr>
                              <w:t xml:space="preserve">　　　　　</w:t>
                            </w:r>
                          </w:p>
                          <w:p w14:paraId="00B529FA" w14:textId="418DE49F" w:rsidR="00E06BCF" w:rsidRDefault="00E06BCF" w:rsidP="00E06BCF">
                            <w:pPr>
                              <w:spacing w:line="280" w:lineRule="exact"/>
                            </w:pPr>
                            <w:r>
                              <w:rPr>
                                <w:rFonts w:hint="eastAsia"/>
                              </w:rPr>
                              <w:t>・入札価格点＝入札価格÷100万円</w:t>
                            </w:r>
                          </w:p>
                          <w:p w14:paraId="5548CEAD" w14:textId="2285A388" w:rsidR="00E06BCF" w:rsidRDefault="00E06BCF" w:rsidP="00E06BCF">
                            <w:pPr>
                              <w:spacing w:line="280" w:lineRule="exact"/>
                            </w:pPr>
                            <w:r>
                              <w:rPr>
                                <w:rFonts w:hint="eastAsia"/>
                              </w:rPr>
                              <w:t>・</w:t>
                            </w:r>
                            <w:r w:rsidR="00043F14">
                              <w:rPr>
                                <w:rFonts w:hint="eastAsia"/>
                              </w:rPr>
                              <w:t>得点</w:t>
                            </w:r>
                            <w:r>
                              <w:rPr>
                                <w:rFonts w:hint="eastAsia"/>
                              </w:rPr>
                              <w:t>＝標準点の満点（100点）＋加算点の満点（50点）</w:t>
                            </w:r>
                          </w:p>
                          <w:p w14:paraId="674AA764" w14:textId="41181E22" w:rsidR="00E06BCF" w:rsidRDefault="00E06BCF" w:rsidP="00E06BCF">
                            <w:pPr>
                              <w:spacing w:line="280" w:lineRule="exact"/>
                            </w:pP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31CE6" id="_x0000_t202" coordsize="21600,21600" o:spt="202" path="m,l,21600r21600,l21600,xe">
                <v:stroke joinstyle="miter"/>
                <v:path gradientshapeok="t" o:connecttype="rect"/>
              </v:shapetype>
              <v:shape id="テキスト ボックス 1" o:spid="_x0000_s1027" type="#_x0000_t202" style="position:absolute;left:0;text-align:left;margin-left:36.9pt;margin-top:10.35pt;width:376.1pt;height:11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" fillcolor="white [3201]" strokeweight=".5pt">
                <v:textbox>
                  <w:txbxContent>
                    <w:p w14:paraId="146D10CD" w14:textId="3976F5E4" w:rsidR="00E06BCF" w:rsidRDefault="00E06BCF" w:rsidP="00E06BCF">
                      <w:pPr>
                        <w:spacing w:line="280" w:lineRule="exact"/>
                      </w:pPr>
                      <w:r>
                        <w:rPr>
                          <w:rFonts w:hint="eastAsia"/>
                        </w:rPr>
                        <w:t xml:space="preserve">　　　　　　　　</w:t>
                      </w:r>
                    </w:p>
                    <w:p w14:paraId="226BC7E0" w14:textId="1EEA6ABF" w:rsidR="00E06BCF" w:rsidRDefault="00E06BCF" w:rsidP="002215E7">
                      <w:pPr>
                        <w:spacing w:line="280" w:lineRule="exact"/>
                        <w:ind w:firstLineChars="600" w:firstLine="1320"/>
                      </w:pPr>
                      <w:r>
                        <w:rPr>
                          <w:rFonts w:hint="eastAsia"/>
                        </w:rPr>
                        <w:t>総合評価点＝</w:t>
                      </w:r>
                    </w:p>
                    <w:p w14:paraId="5A66CFD6" w14:textId="77777777" w:rsidR="00E06BCF" w:rsidRDefault="00E06BCF" w:rsidP="00E06BCF">
                      <w:pPr>
                        <w:spacing w:line="280" w:lineRule="exact"/>
                      </w:pPr>
                      <w:r>
                        <w:rPr>
                          <w:rFonts w:hint="eastAsia"/>
                        </w:rPr>
                        <w:t xml:space="preserve">　　　　　</w:t>
                      </w:r>
                    </w:p>
                    <w:p w14:paraId="00B529FA" w14:textId="418DE49F" w:rsidR="00E06BCF" w:rsidRDefault="00E06BCF" w:rsidP="00E06BCF">
                      <w:pPr>
                        <w:spacing w:line="280" w:lineRule="exact"/>
                      </w:pPr>
                      <w:r>
                        <w:rPr>
                          <w:rFonts w:hint="eastAsia"/>
                        </w:rPr>
                        <w:t>・入札価格点＝入札価格÷100万円</w:t>
                      </w:r>
                    </w:p>
                    <w:p w14:paraId="5548CEAD" w14:textId="2285A388" w:rsidR="00E06BCF" w:rsidRDefault="00E06BCF" w:rsidP="00E06BCF">
                      <w:pPr>
                        <w:spacing w:line="280" w:lineRule="exact"/>
                      </w:pPr>
                      <w:r>
                        <w:rPr>
                          <w:rFonts w:hint="eastAsia"/>
                        </w:rPr>
                        <w:t>・</w:t>
                      </w:r>
                      <w:r w:rsidR="00043F14">
                        <w:rPr>
                          <w:rFonts w:hint="eastAsia"/>
                        </w:rPr>
                        <w:t>得点</w:t>
                      </w:r>
                      <w:r>
                        <w:rPr>
                          <w:rFonts w:hint="eastAsia"/>
                        </w:rPr>
                        <w:t>＝標準点の満点（100点）＋加算点の満点（50点）</w:t>
                      </w:r>
                    </w:p>
                    <w:p w14:paraId="674AA764" w14:textId="41181E22" w:rsidR="00E06BCF" w:rsidRDefault="00E06BCF" w:rsidP="00E06BCF">
                      <w:pPr>
                        <w:spacing w:line="280" w:lineRule="exact"/>
                      </w:pPr>
                      <w:r>
                        <w:rPr>
                          <w:rFonts w:hint="eastAsia"/>
                        </w:rPr>
                        <w:t xml:space="preserve">　</w:t>
                      </w:r>
                    </w:p>
                  </w:txbxContent>
                </v:textbox>
              </v:shape>
            </w:pict>
          </mc:Fallback>
        </mc:AlternateContent>
      </w:r>
    </w:p>
    <w:p w14:paraId="22DA1FDC" w14:textId="314027E6" w:rsidR="00043F14" w:rsidRDefault="00043F14" w:rsidP="0032764E">
      <w:pPr>
        <w:pStyle w:val="a9"/>
        <w:spacing w:line="320" w:lineRule="exact"/>
      </w:pPr>
    </w:p>
    <w:p w14:paraId="4CEF260C" w14:textId="2D2DB5EC" w:rsidR="00043F14" w:rsidRDefault="002215E7" w:rsidP="0032764E">
      <w:pPr>
        <w:pStyle w:val="a9"/>
        <w:spacing w:line="320" w:lineRule="exact"/>
      </w:pPr>
      <w:r>
        <w:rPr>
          <w:rFonts w:hint="eastAsia"/>
          <w:noProof/>
        </w:rPr>
        <mc:AlternateContent>
          <mc:Choice Requires="wps">
            <w:drawing>
              <wp:anchor distT="0" distB="0" distL="114300" distR="114300" simplePos="0" relativeHeight="251658242" behindDoc="0" locked="0" layoutInCell="1" allowOverlap="1" wp14:anchorId="1EC3CDD5" wp14:editId="383AD38A">
                <wp:simplePos x="0" y="0"/>
                <wp:positionH relativeFrom="margin">
                  <wp:posOffset>2580306</wp:posOffset>
                </wp:positionH>
                <wp:positionV relativeFrom="paragraph">
                  <wp:posOffset>6350</wp:posOffset>
                </wp:positionV>
                <wp:extent cx="1855470" cy="436245"/>
                <wp:effectExtent l="0" t="0" r="0" b="1905"/>
                <wp:wrapNone/>
                <wp:docPr id="352177720" name="テキスト ボックス 3"/>
                <wp:cNvGraphicFramePr/>
                <a:graphic xmlns:a="http://schemas.openxmlformats.org/drawingml/2006/main">
                  <a:graphicData uri="http://schemas.microsoft.com/office/word/2010/wordprocessingShape">
                    <wps:wsp>
                      <wps:cNvSpPr txBox="1"/>
                      <wps:spPr>
                        <a:xfrm>
                          <a:off x="0" y="0"/>
                          <a:ext cx="1855470" cy="436245"/>
                        </a:xfrm>
                        <a:prstGeom prst="rect">
                          <a:avLst/>
                        </a:prstGeom>
                        <a:noFill/>
                        <a:ln w="6350">
                          <a:noFill/>
                        </a:ln>
                      </wps:spPr>
                      <wps:txbx>
                        <w:txbxContent>
                          <w:p w14:paraId="0DA11838" w14:textId="1441BEFE" w:rsidR="00E06BCF" w:rsidRPr="00E06BCF" w:rsidRDefault="00E06BCF" w:rsidP="00E06BCF">
                            <w:pPr>
                              <w:rPr>
                                <w:sz w:val="24"/>
                              </w:rPr>
                            </w:pPr>
                            <w:r>
                              <w:rPr>
                                <w:rFonts w:hint="eastAsia"/>
                                <w:sz w:val="24"/>
                              </w:rPr>
                              <w:t>入札価格点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3CDD5" id="_x0000_s1028" type="#_x0000_t202" style="position:absolute;left:0;text-align:left;margin-left:203.15pt;margin-top:.5pt;width:146.1pt;height:34.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" filled="f" stroked="f" strokeweight=".5pt">
                <v:textbox>
                  <w:txbxContent>
                    <w:p w14:paraId="0DA11838" w14:textId="1441BEFE" w:rsidR="00E06BCF" w:rsidRPr="00E06BCF" w:rsidRDefault="00E06BCF" w:rsidP="00E06BCF">
                      <w:pPr>
                        <w:rPr>
                          <w:sz w:val="24"/>
                        </w:rPr>
                      </w:pPr>
                      <w:r>
                        <w:rPr>
                          <w:rFonts w:hint="eastAsia"/>
                          <w:sz w:val="24"/>
                        </w:rPr>
                        <w:t>入札価格点</w:t>
                      </w:r>
                    </w:p>
                  </w:txbxContent>
                </v:textbox>
                <w10:wrap anchorx="margin"/>
              </v:shape>
            </w:pict>
          </mc:Fallback>
        </mc:AlternateContent>
      </w:r>
      <w:r>
        <w:rPr>
          <w:rFonts w:hint="eastAsia"/>
          <w:noProof/>
        </w:rPr>
        <mc:AlternateContent>
          <mc:Choice Requires="wps">
            <w:drawing>
              <wp:anchor distT="0" distB="0" distL="114300" distR="114300" simplePos="0" relativeHeight="251658243" behindDoc="0" locked="0" layoutInCell="1" allowOverlap="1" wp14:anchorId="68CA1F5E" wp14:editId="1692FAEA">
                <wp:simplePos x="0" y="0"/>
                <wp:positionH relativeFrom="column">
                  <wp:posOffset>2296293</wp:posOffset>
                </wp:positionH>
                <wp:positionV relativeFrom="paragraph">
                  <wp:posOffset>148356</wp:posOffset>
                </wp:positionV>
                <wp:extent cx="1616710" cy="0"/>
                <wp:effectExtent l="0" t="0" r="0" b="0"/>
                <wp:wrapNone/>
                <wp:docPr id="662524718" name="直線コネクタ 2"/>
                <wp:cNvGraphicFramePr/>
                <a:graphic xmlns:a="http://schemas.openxmlformats.org/drawingml/2006/main">
                  <a:graphicData uri="http://schemas.microsoft.com/office/word/2010/wordprocessingShape">
                    <wps:wsp>
                      <wps:cNvCnPr/>
                      <wps:spPr>
                        <a:xfrm>
                          <a:off x="0" y="0"/>
                          <a:ext cx="1616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38AB91" id="直線コネクタ 2"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8pt,11.7pt" to="308.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" strokecolor="black [3200]" strokeweight=".5pt">
                <v:stroke joinstyle="miter"/>
              </v:line>
            </w:pict>
          </mc:Fallback>
        </mc:AlternateContent>
      </w:r>
    </w:p>
    <w:p w14:paraId="6FF6F681" w14:textId="7E5724B5" w:rsidR="00043F14" w:rsidRDefault="00043F14" w:rsidP="0032764E">
      <w:pPr>
        <w:pStyle w:val="a9"/>
        <w:spacing w:line="320" w:lineRule="exact"/>
      </w:pPr>
    </w:p>
    <w:p w14:paraId="0525D0A3" w14:textId="2EA50AD3" w:rsidR="00043F14" w:rsidRDefault="00043F14" w:rsidP="0032764E">
      <w:pPr>
        <w:pStyle w:val="a9"/>
        <w:spacing w:line="320" w:lineRule="exact"/>
      </w:pPr>
    </w:p>
    <w:p w14:paraId="22676829" w14:textId="77777777" w:rsidR="00043F14" w:rsidRDefault="00043F14" w:rsidP="0032764E">
      <w:pPr>
        <w:pStyle w:val="a9"/>
        <w:spacing w:line="320" w:lineRule="exact"/>
      </w:pPr>
    </w:p>
    <w:p w14:paraId="333808F0" w14:textId="0C02A0B9" w:rsidR="00043F14" w:rsidRDefault="00043F14" w:rsidP="0032764E">
      <w:pPr>
        <w:pStyle w:val="a9"/>
        <w:spacing w:line="320" w:lineRule="exact"/>
      </w:pPr>
    </w:p>
    <w:p w14:paraId="48068F98" w14:textId="77777777" w:rsidR="00043F14" w:rsidRDefault="00043F14" w:rsidP="0032764E">
      <w:pPr>
        <w:pStyle w:val="a9"/>
        <w:spacing w:line="320" w:lineRule="exact"/>
      </w:pPr>
    </w:p>
    <w:p w14:paraId="1C55F7E1" w14:textId="77777777" w:rsidR="00F24EBA" w:rsidRDefault="00F24EBA" w:rsidP="000F0BD2">
      <w:pPr>
        <w:spacing w:line="320" w:lineRule="exact"/>
      </w:pPr>
    </w:p>
    <w:p w14:paraId="22C87FC5" w14:textId="1B5C9BBF" w:rsidR="00F24EBA" w:rsidRDefault="00F24EBA" w:rsidP="00F24EBA">
      <w:pPr>
        <w:pStyle w:val="a9"/>
        <w:numPr>
          <w:ilvl w:val="0"/>
          <w:numId w:val="2"/>
        </w:numPr>
        <w:spacing w:line="320" w:lineRule="exact"/>
      </w:pPr>
      <w:r>
        <w:rPr>
          <w:rFonts w:hint="eastAsia"/>
        </w:rPr>
        <w:lastRenderedPageBreak/>
        <w:t>評価基準</w:t>
      </w:r>
    </w:p>
    <w:p w14:paraId="33658C16" w14:textId="4662C9B7" w:rsidR="00F24EBA" w:rsidRDefault="00F24EBA" w:rsidP="00F24EBA">
      <w:pPr>
        <w:pStyle w:val="a9"/>
        <w:spacing w:line="320" w:lineRule="exact"/>
      </w:pPr>
      <w:r>
        <w:rPr>
          <w:rFonts w:hint="eastAsia"/>
        </w:rPr>
        <w:t>加算点は各評価基準ア～</w:t>
      </w:r>
      <w:r w:rsidR="009D18FB">
        <w:rPr>
          <w:rFonts w:hint="eastAsia"/>
        </w:rPr>
        <w:t>キ</w:t>
      </w:r>
      <w:r>
        <w:rPr>
          <w:rFonts w:hint="eastAsia"/>
        </w:rPr>
        <w:t>に応じて点数を与え、その総計とする。</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09"/>
        <w:gridCol w:w="6817"/>
        <w:gridCol w:w="723"/>
      </w:tblGrid>
      <w:tr w:rsidR="00B51D09" w:rsidRPr="005D2E9D" w14:paraId="243A13B1" w14:textId="77777777" w:rsidTr="00B65C67">
        <w:trPr>
          <w:trHeight w:val="360"/>
          <w:jc w:val="center"/>
        </w:trPr>
        <w:tc>
          <w:tcPr>
            <w:tcW w:w="8142" w:type="dxa"/>
            <w:gridSpan w:val="3"/>
            <w:shd w:val="clear" w:color="auto" w:fill="DAE9F7" w:themeFill="text2" w:themeFillTint="1A"/>
          </w:tcPr>
          <w:p w14:paraId="40B8E06A" w14:textId="4A198064" w:rsidR="00B51D09" w:rsidRPr="005D2E9D" w:rsidRDefault="00B51D09" w:rsidP="005D2E9D">
            <w:pPr>
              <w:adjustRightInd w:val="0"/>
              <w:snapToGrid w:val="0"/>
              <w:spacing w:after="0" w:line="360" w:lineRule="atLeast"/>
              <w:jc w:val="center"/>
              <w:textAlignment w:val="baseline"/>
              <w:rPr>
                <w:rFonts w:ascii="Verdana" w:eastAsia="ＭＳ ゴシック" w:hAnsi="Verdana" w:cs="Times New Roman"/>
                <w:b/>
                <w:bCs/>
                <w:kern w:val="0"/>
                <w:sz w:val="21"/>
                <w:szCs w:val="21"/>
                <w14:ligatures w14:val="none"/>
              </w:rPr>
            </w:pPr>
            <w:r w:rsidRPr="005D2E9D">
              <w:rPr>
                <w:rFonts w:ascii="Verdana" w:eastAsia="ＭＳ ゴシック" w:hAnsi="Verdana" w:cs="Times New Roman" w:hint="eastAsia"/>
                <w:b/>
                <w:bCs/>
                <w:kern w:val="0"/>
                <w:sz w:val="21"/>
                <w:szCs w:val="21"/>
                <w14:ligatures w14:val="none"/>
              </w:rPr>
              <w:t>加算点の評価項目</w:t>
            </w:r>
          </w:p>
        </w:tc>
        <w:tc>
          <w:tcPr>
            <w:tcW w:w="723" w:type="dxa"/>
            <w:shd w:val="solid" w:color="DEEAF6" w:fill="auto"/>
            <w:vAlign w:val="center"/>
          </w:tcPr>
          <w:p w14:paraId="0F8609FE" w14:textId="77777777" w:rsidR="00B51D09" w:rsidRPr="005D2E9D" w:rsidRDefault="00B51D09" w:rsidP="005D2E9D">
            <w:pPr>
              <w:adjustRightInd w:val="0"/>
              <w:snapToGrid w:val="0"/>
              <w:spacing w:after="0" w:line="360" w:lineRule="atLeast"/>
              <w:jc w:val="center"/>
              <w:textAlignment w:val="baseline"/>
              <w:rPr>
                <w:rFonts w:ascii="Verdana" w:eastAsia="ＭＳ ゴシック" w:hAnsi="Verdana" w:cs="Times New Roman"/>
                <w:b/>
                <w:bCs/>
                <w:kern w:val="0"/>
                <w:sz w:val="21"/>
                <w:szCs w:val="21"/>
                <w14:ligatures w14:val="none"/>
              </w:rPr>
            </w:pPr>
            <w:r w:rsidRPr="005D2E9D">
              <w:rPr>
                <w:rFonts w:ascii="Verdana" w:eastAsia="ＭＳ ゴシック" w:hAnsi="Verdana" w:cs="Times New Roman" w:hint="eastAsia"/>
                <w:b/>
                <w:bCs/>
                <w:kern w:val="0"/>
                <w:sz w:val="21"/>
                <w:szCs w:val="21"/>
                <w14:ligatures w14:val="none"/>
              </w:rPr>
              <w:t>配点</w:t>
            </w:r>
            <w:r w:rsidRPr="005D2E9D">
              <w:rPr>
                <w:rFonts w:ascii="Verdana" w:eastAsia="ＭＳ ゴシック" w:hAnsi="Verdana" w:cs="Times New Roman" w:hint="eastAsia"/>
                <w:b/>
                <w:bCs/>
                <w:kern w:val="0"/>
                <w:sz w:val="21"/>
                <w:szCs w:val="21"/>
                <w:vertAlign w:val="superscript"/>
                <w14:ligatures w14:val="none"/>
              </w:rPr>
              <w:t>※</w:t>
            </w:r>
          </w:p>
        </w:tc>
      </w:tr>
      <w:tr w:rsidR="00B51D09" w:rsidRPr="005D2E9D" w14:paraId="4CF58752" w14:textId="77777777" w:rsidTr="00B65C67">
        <w:trPr>
          <w:trHeight w:val="360"/>
          <w:jc w:val="center"/>
        </w:trPr>
        <w:tc>
          <w:tcPr>
            <w:tcW w:w="616" w:type="dxa"/>
          </w:tcPr>
          <w:p w14:paraId="06BD8E5E" w14:textId="6ABFE131" w:rsidR="00B51D09" w:rsidRPr="005D2E9D" w:rsidRDefault="00B51D09" w:rsidP="00B51D09">
            <w:pPr>
              <w:adjustRightInd w:val="0"/>
              <w:snapToGrid w:val="0"/>
              <w:spacing w:after="0" w:line="300" w:lineRule="exact"/>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ア</w:t>
            </w:r>
          </w:p>
        </w:tc>
        <w:tc>
          <w:tcPr>
            <w:tcW w:w="709" w:type="dxa"/>
            <w:vMerge w:val="restart"/>
            <w:vAlign w:val="center"/>
          </w:tcPr>
          <w:p w14:paraId="63122C8A" w14:textId="18D0363D"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必須</w:t>
            </w:r>
          </w:p>
        </w:tc>
        <w:tc>
          <w:tcPr>
            <w:tcW w:w="6817" w:type="dxa"/>
            <w:vAlign w:val="center"/>
          </w:tcPr>
          <w:p w14:paraId="4B438FA9"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事業者全体の二酸化炭素排出係数</w:t>
            </w:r>
          </w:p>
        </w:tc>
        <w:tc>
          <w:tcPr>
            <w:tcW w:w="723" w:type="dxa"/>
            <w:vAlign w:val="center"/>
          </w:tcPr>
          <w:p w14:paraId="79EB24F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20</w:t>
            </w:r>
            <w:r w:rsidRPr="005D2E9D">
              <w:rPr>
                <w:rFonts w:ascii="Verdana" w:eastAsia="ＭＳ ゴシック" w:hAnsi="Verdana" w:cs="Times New Roman" w:hint="eastAsia"/>
                <w:kern w:val="0"/>
                <w:sz w:val="20"/>
                <w:szCs w:val="20"/>
                <w14:ligatures w14:val="none"/>
              </w:rPr>
              <w:t>点</w:t>
            </w:r>
          </w:p>
        </w:tc>
      </w:tr>
      <w:tr w:rsidR="00B51D09" w:rsidRPr="005D2E9D" w14:paraId="60F3BADD" w14:textId="77777777" w:rsidTr="00B65C67">
        <w:trPr>
          <w:trHeight w:val="347"/>
          <w:jc w:val="center"/>
        </w:trPr>
        <w:tc>
          <w:tcPr>
            <w:tcW w:w="616" w:type="dxa"/>
          </w:tcPr>
          <w:p w14:paraId="348B8D8B" w14:textId="27556D58"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イ</w:t>
            </w:r>
          </w:p>
        </w:tc>
        <w:tc>
          <w:tcPr>
            <w:tcW w:w="709" w:type="dxa"/>
            <w:vMerge/>
            <w:vAlign w:val="center"/>
          </w:tcPr>
          <w:p w14:paraId="0255372D" w14:textId="558042B2"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1A32596B"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調達電力に占める再生可能エネルギー電気の割合</w:t>
            </w:r>
          </w:p>
        </w:tc>
        <w:tc>
          <w:tcPr>
            <w:tcW w:w="723" w:type="dxa"/>
            <w:vAlign w:val="center"/>
          </w:tcPr>
          <w:p w14:paraId="189D2DD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10</w:t>
            </w:r>
            <w:r w:rsidRPr="005D2E9D">
              <w:rPr>
                <w:rFonts w:ascii="Verdana" w:eastAsia="ＭＳ ゴシック" w:hAnsi="Verdana" w:cs="Times New Roman" w:hint="eastAsia"/>
                <w:kern w:val="0"/>
                <w:sz w:val="20"/>
                <w:szCs w:val="20"/>
                <w14:ligatures w14:val="none"/>
              </w:rPr>
              <w:t>点</w:t>
            </w:r>
          </w:p>
        </w:tc>
      </w:tr>
      <w:tr w:rsidR="00B51D09" w:rsidRPr="005D2E9D" w14:paraId="4DAE02A1" w14:textId="77777777" w:rsidTr="00B65C67">
        <w:trPr>
          <w:trHeight w:val="360"/>
          <w:jc w:val="center"/>
        </w:trPr>
        <w:tc>
          <w:tcPr>
            <w:tcW w:w="616" w:type="dxa"/>
          </w:tcPr>
          <w:p w14:paraId="10DE815F" w14:textId="1CEABAB2"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ウ</w:t>
            </w:r>
          </w:p>
        </w:tc>
        <w:tc>
          <w:tcPr>
            <w:tcW w:w="709" w:type="dxa"/>
            <w:vMerge/>
            <w:vAlign w:val="center"/>
          </w:tcPr>
          <w:p w14:paraId="01548781" w14:textId="0D7D0968"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22DF23D3"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再生可能エネルギーの導入状況</w:t>
            </w:r>
          </w:p>
        </w:tc>
        <w:tc>
          <w:tcPr>
            <w:tcW w:w="723" w:type="dxa"/>
            <w:vAlign w:val="center"/>
          </w:tcPr>
          <w:p w14:paraId="656E25D3"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347208F7" w14:textId="77777777" w:rsidTr="00B65C67">
        <w:trPr>
          <w:trHeight w:val="360"/>
          <w:jc w:val="center"/>
        </w:trPr>
        <w:tc>
          <w:tcPr>
            <w:tcW w:w="616" w:type="dxa"/>
          </w:tcPr>
          <w:p w14:paraId="16724D1E" w14:textId="087FFB3E"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エ</w:t>
            </w:r>
          </w:p>
        </w:tc>
        <w:tc>
          <w:tcPr>
            <w:tcW w:w="709" w:type="dxa"/>
            <w:vMerge/>
            <w:vAlign w:val="center"/>
          </w:tcPr>
          <w:p w14:paraId="27A7BD19" w14:textId="2AC9B004"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690E1D0E"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未利用エネルギーの活用状況</w:t>
            </w:r>
          </w:p>
        </w:tc>
        <w:tc>
          <w:tcPr>
            <w:tcW w:w="723" w:type="dxa"/>
            <w:vAlign w:val="center"/>
          </w:tcPr>
          <w:p w14:paraId="5D7D8C08"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4781EC4D" w14:textId="77777777" w:rsidTr="00B65C67">
        <w:trPr>
          <w:trHeight w:val="360"/>
          <w:jc w:val="center"/>
        </w:trPr>
        <w:tc>
          <w:tcPr>
            <w:tcW w:w="616" w:type="dxa"/>
          </w:tcPr>
          <w:p w14:paraId="669186B4" w14:textId="34F1D67D"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オ</w:t>
            </w:r>
          </w:p>
        </w:tc>
        <w:tc>
          <w:tcPr>
            <w:tcW w:w="709" w:type="dxa"/>
            <w:vMerge/>
            <w:vAlign w:val="center"/>
          </w:tcPr>
          <w:p w14:paraId="15CEC174" w14:textId="2E90080C"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37E02AD3"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調達電力に占める追加性のある再生可能エネルギー電気の割合</w:t>
            </w:r>
          </w:p>
        </w:tc>
        <w:tc>
          <w:tcPr>
            <w:tcW w:w="723" w:type="dxa"/>
            <w:vAlign w:val="center"/>
          </w:tcPr>
          <w:p w14:paraId="2DD7B686"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7D80499C" w14:textId="77777777" w:rsidTr="00B65C67">
        <w:trPr>
          <w:trHeight w:val="421"/>
          <w:jc w:val="center"/>
        </w:trPr>
        <w:tc>
          <w:tcPr>
            <w:tcW w:w="616" w:type="dxa"/>
          </w:tcPr>
          <w:p w14:paraId="7E6EAA4D" w14:textId="41C4F320" w:rsidR="00B51D09" w:rsidRPr="005D2E9D" w:rsidRDefault="00B51D09" w:rsidP="00B51D09">
            <w:pPr>
              <w:adjustRightInd w:val="0"/>
              <w:snapToGrid w:val="0"/>
              <w:spacing w:after="0" w:line="300" w:lineRule="exact"/>
              <w:ind w:firstLineChars="100" w:firstLine="200"/>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カ</w:t>
            </w:r>
          </w:p>
        </w:tc>
        <w:tc>
          <w:tcPr>
            <w:tcW w:w="709" w:type="dxa"/>
            <w:vMerge/>
            <w:vAlign w:val="center"/>
          </w:tcPr>
          <w:p w14:paraId="5E531399" w14:textId="5C568665" w:rsidR="00B51D09" w:rsidRPr="005D2E9D" w:rsidRDefault="00B51D09" w:rsidP="005D2E9D">
            <w:pPr>
              <w:adjustRightInd w:val="0"/>
              <w:snapToGrid w:val="0"/>
              <w:spacing w:after="0" w:line="300" w:lineRule="exact"/>
              <w:ind w:firstLineChars="100" w:firstLine="200"/>
              <w:jc w:val="center"/>
              <w:textAlignment w:val="baseline"/>
              <w:rPr>
                <w:rFonts w:ascii="Verdana" w:eastAsia="ＭＳ ゴシック" w:hAnsi="Verdana" w:cs="Times New Roman"/>
                <w:kern w:val="0"/>
                <w:sz w:val="20"/>
                <w:szCs w:val="20"/>
                <w14:ligatures w14:val="none"/>
              </w:rPr>
            </w:pPr>
          </w:p>
        </w:tc>
        <w:tc>
          <w:tcPr>
            <w:tcW w:w="6817" w:type="dxa"/>
            <w:vAlign w:val="center"/>
          </w:tcPr>
          <w:p w14:paraId="3423B551"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E0633D">
              <w:rPr>
                <w:rFonts w:ascii="Verdana" w:eastAsia="ＭＳ ゴシック" w:hAnsi="Verdana" w:cs="Times New Roman" w:hint="eastAsia"/>
                <w:w w:val="94"/>
                <w:kern w:val="0"/>
                <w:sz w:val="20"/>
                <w:szCs w:val="20"/>
                <w:fitText w:val="6600" w:id="-517225470"/>
                <w14:ligatures w14:val="none"/>
              </w:rPr>
              <w:t>指定地域における持続的な再生可能エネルギー電気の創出・利用に向けた取</w:t>
            </w:r>
            <w:r w:rsidRPr="00E0633D">
              <w:rPr>
                <w:rFonts w:ascii="Verdana" w:eastAsia="ＭＳ ゴシック" w:hAnsi="Verdana" w:cs="Times New Roman" w:hint="eastAsia"/>
                <w:spacing w:val="10"/>
                <w:w w:val="94"/>
                <w:kern w:val="0"/>
                <w:sz w:val="20"/>
                <w:szCs w:val="20"/>
                <w:fitText w:val="6600" w:id="-517225470"/>
                <w14:ligatures w14:val="none"/>
              </w:rPr>
              <w:t>組</w:t>
            </w:r>
          </w:p>
        </w:tc>
        <w:tc>
          <w:tcPr>
            <w:tcW w:w="723" w:type="dxa"/>
            <w:vAlign w:val="center"/>
          </w:tcPr>
          <w:p w14:paraId="58EFAB02"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5</w:t>
            </w:r>
            <w:r w:rsidRPr="005D2E9D">
              <w:rPr>
                <w:rFonts w:ascii="Verdana" w:eastAsia="ＭＳ ゴシック" w:hAnsi="Verdana" w:cs="Times New Roman" w:hint="eastAsia"/>
                <w:kern w:val="0"/>
                <w:sz w:val="20"/>
                <w:szCs w:val="20"/>
                <w14:ligatures w14:val="none"/>
              </w:rPr>
              <w:t>点</w:t>
            </w:r>
          </w:p>
        </w:tc>
      </w:tr>
      <w:tr w:rsidR="00B51D09" w:rsidRPr="005D2E9D" w14:paraId="2A97DF01" w14:textId="77777777" w:rsidTr="00B65C67">
        <w:trPr>
          <w:trHeight w:val="421"/>
          <w:jc w:val="center"/>
        </w:trPr>
        <w:tc>
          <w:tcPr>
            <w:tcW w:w="616" w:type="dxa"/>
          </w:tcPr>
          <w:p w14:paraId="0EB10363" w14:textId="728BB162" w:rsidR="00B51D09" w:rsidRPr="005D2E9D" w:rsidRDefault="00B51D09" w:rsidP="00B51D09">
            <w:pPr>
              <w:adjustRightInd w:val="0"/>
              <w:snapToGrid w:val="0"/>
              <w:spacing w:after="0" w:line="300" w:lineRule="exact"/>
              <w:jc w:val="right"/>
              <w:textAlignment w:val="baseline"/>
              <w:rPr>
                <w:rFonts w:ascii="Verdana" w:eastAsia="ＭＳ ゴシック" w:hAnsi="Verdana" w:cs="Times New Roman"/>
                <w:kern w:val="0"/>
                <w:sz w:val="20"/>
                <w:szCs w:val="20"/>
                <w14:ligatures w14:val="none"/>
              </w:rPr>
            </w:pPr>
            <w:r>
              <w:rPr>
                <w:rFonts w:ascii="Verdana" w:eastAsia="ＭＳ ゴシック" w:hAnsi="Verdana" w:cs="Times New Roman" w:hint="eastAsia"/>
                <w:kern w:val="0"/>
                <w:sz w:val="20"/>
                <w:szCs w:val="20"/>
                <w14:ligatures w14:val="none"/>
              </w:rPr>
              <w:t>キ</w:t>
            </w:r>
          </w:p>
        </w:tc>
        <w:tc>
          <w:tcPr>
            <w:tcW w:w="709" w:type="dxa"/>
            <w:vAlign w:val="center"/>
          </w:tcPr>
          <w:p w14:paraId="3D94D65D" w14:textId="27C6BF98"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任意</w:t>
            </w:r>
          </w:p>
        </w:tc>
        <w:tc>
          <w:tcPr>
            <w:tcW w:w="6817" w:type="dxa"/>
            <w:vAlign w:val="center"/>
          </w:tcPr>
          <w:p w14:paraId="11F08ED2" w14:textId="77777777" w:rsidR="00B51D09" w:rsidRPr="005D2E9D" w:rsidRDefault="00B51D09" w:rsidP="005D2E9D">
            <w:pPr>
              <w:adjustRightInd w:val="0"/>
              <w:snapToGrid w:val="0"/>
              <w:spacing w:after="0" w:line="300" w:lineRule="exact"/>
              <w:jc w:val="both"/>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ディマンド・リスポンスの取組</w:t>
            </w:r>
          </w:p>
        </w:tc>
        <w:tc>
          <w:tcPr>
            <w:tcW w:w="723" w:type="dxa"/>
            <w:vAlign w:val="center"/>
          </w:tcPr>
          <w:p w14:paraId="54A3CA61" w14:textId="77777777" w:rsidR="00B51D09" w:rsidRPr="005D2E9D" w:rsidRDefault="00B51D09" w:rsidP="005D2E9D">
            <w:pPr>
              <w:adjustRightInd w:val="0"/>
              <w:snapToGrid w:val="0"/>
              <w:spacing w:after="0" w:line="300" w:lineRule="exact"/>
              <w:jc w:val="center"/>
              <w:textAlignment w:val="baseline"/>
              <w:rPr>
                <w:rFonts w:ascii="Verdana" w:eastAsia="ＭＳ ゴシック" w:hAnsi="Verdana" w:cs="Times New Roman"/>
                <w:kern w:val="0"/>
                <w:sz w:val="20"/>
                <w:szCs w:val="20"/>
                <w14:ligatures w14:val="none"/>
              </w:rPr>
            </w:pPr>
            <w:r w:rsidRPr="005D2E9D">
              <w:rPr>
                <w:rFonts w:ascii="Verdana" w:eastAsia="ＭＳ ゴシック" w:hAnsi="Verdana" w:cs="Times New Roman" w:hint="eastAsia"/>
                <w:kern w:val="0"/>
                <w:sz w:val="20"/>
                <w:szCs w:val="20"/>
                <w14:ligatures w14:val="none"/>
              </w:rPr>
              <w:t>任意</w:t>
            </w:r>
          </w:p>
        </w:tc>
      </w:tr>
    </w:tbl>
    <w:p w14:paraId="4170999A" w14:textId="7798B9D2" w:rsidR="00B65C67" w:rsidRPr="00B65C67" w:rsidRDefault="00B65C67" w:rsidP="0095439E">
      <w:pPr>
        <w:pStyle w:val="a9"/>
        <w:spacing w:line="320" w:lineRule="exact"/>
        <w:ind w:left="0"/>
        <w:rPr>
          <w:i/>
          <w:iCs/>
        </w:rPr>
      </w:pPr>
      <w:r w:rsidRPr="00B65C67">
        <w:rPr>
          <w:rFonts w:hint="eastAsia"/>
          <w:i/>
          <w:iCs/>
        </w:rPr>
        <w:t>※：配点は加算点の標準的な例を示したもの。加算点の合計50点を変更しない限り、調達者の判断により、キの任意の評価項目の採用を含め、配点・配分を決めることは差し支えない</w:t>
      </w:r>
      <w:r w:rsidR="0095439E" w:rsidRPr="0095439E">
        <w:rPr>
          <w:rFonts w:hint="eastAsia"/>
          <w:i/>
          <w:iCs/>
        </w:rPr>
        <w:t>。</w:t>
      </w:r>
    </w:p>
    <w:p w14:paraId="3CBDCE7F" w14:textId="2BDEE7C0" w:rsidR="005D2E9D" w:rsidRPr="00B65C67" w:rsidRDefault="00293648" w:rsidP="00293648">
      <w:pPr>
        <w:spacing w:line="320" w:lineRule="exact"/>
        <w:ind w:firstLineChars="64" w:firstLine="141"/>
      </w:pPr>
      <w:r>
        <w:rPr>
          <w:rFonts w:hint="eastAsia"/>
        </w:rPr>
        <w:t xml:space="preserve">      各項目の評価方法の詳細は次頁以降のとおり。</w:t>
      </w:r>
    </w:p>
    <w:p w14:paraId="4552F7BB" w14:textId="77777777" w:rsidR="00C9648A" w:rsidRDefault="00C9648A">
      <w:pPr>
        <w:widowControl/>
      </w:pPr>
      <w:r>
        <w:br w:type="page"/>
      </w:r>
    </w:p>
    <w:p w14:paraId="2A019B1F" w14:textId="48B0E521" w:rsidR="00F24EBA" w:rsidRPr="00B46C3F" w:rsidRDefault="00F24EBA" w:rsidP="0095439E">
      <w:pPr>
        <w:pStyle w:val="a9"/>
        <w:spacing w:line="320" w:lineRule="exact"/>
        <w:ind w:leftChars="-69" w:left="0" w:hangingChars="69" w:hanging="152"/>
        <w:rPr>
          <w:b/>
          <w:bCs/>
        </w:rPr>
      </w:pPr>
      <w:r w:rsidRPr="00B46C3F">
        <w:rPr>
          <w:rFonts w:hint="eastAsia"/>
          <w:b/>
          <w:bCs/>
        </w:rPr>
        <w:lastRenderedPageBreak/>
        <w:t xml:space="preserve">ア　</w:t>
      </w:r>
      <w:r w:rsidR="006D231C" w:rsidRPr="00B46C3F">
        <w:rPr>
          <w:rFonts w:hint="eastAsia"/>
          <w:b/>
          <w:bCs/>
        </w:rPr>
        <w:t>令和</w:t>
      </w:r>
      <w:r w:rsidR="00BB519F" w:rsidRPr="00B46C3F">
        <w:rPr>
          <w:rFonts w:hint="eastAsia"/>
          <w:b/>
          <w:bCs/>
        </w:rPr>
        <w:t>7</w:t>
      </w:r>
      <w:r w:rsidR="006D231C" w:rsidRPr="00B46C3F">
        <w:rPr>
          <w:rFonts w:hint="eastAsia"/>
          <w:b/>
          <w:bCs/>
        </w:rPr>
        <w:t>年度1kWh当たり</w:t>
      </w:r>
      <w:r w:rsidRPr="00B46C3F">
        <w:rPr>
          <w:rFonts w:hint="eastAsia"/>
          <w:b/>
          <w:bCs/>
        </w:rPr>
        <w:t>の調整後二酸化炭素排出係数</w:t>
      </w:r>
    </w:p>
    <w:p w14:paraId="2E1C88F9" w14:textId="272AA96B" w:rsidR="006D231C" w:rsidRDefault="006D231C" w:rsidP="00BB519F">
      <w:pPr>
        <w:pStyle w:val="a9"/>
        <w:spacing w:line="320" w:lineRule="exact"/>
        <w:ind w:left="284" w:firstLineChars="100" w:firstLine="220"/>
      </w:pPr>
      <w:r>
        <w:rPr>
          <w:rFonts w:hint="eastAsia"/>
        </w:rPr>
        <w:t>令和</w:t>
      </w:r>
      <w:r w:rsidR="00BB519F">
        <w:rPr>
          <w:rFonts w:hint="eastAsia"/>
        </w:rPr>
        <w:t>7</w:t>
      </w:r>
      <w:r>
        <w:rPr>
          <w:rFonts w:hint="eastAsia"/>
        </w:rPr>
        <w:t>年度の事業者全体の調整後排出係数として、温対法に基づき環境大臣及び経済産業大臣が公表した数値を評価する。なお、新たに電力の供給に参入した小売電気事業者であって、温対法に基づき環境大臣及び経済産業大臣から排出係数が公表されていない事業者は、当該事業者が自ら検証・公表した調整後排出係数を用いることができる。温対法に基づき令和</w:t>
      </w:r>
      <w:r w:rsidR="00BB519F">
        <w:rPr>
          <w:rFonts w:hint="eastAsia"/>
        </w:rPr>
        <w:t>7</w:t>
      </w:r>
      <w:r>
        <w:rPr>
          <w:rFonts w:hint="eastAsia"/>
        </w:rPr>
        <w:t>年度のメニュー別排出系巣が公表されてから事業者全体の排出係数が公表されるまでの間は、小売電気事業者が温対法に基づき算定した令和</w:t>
      </w:r>
      <w:r w:rsidR="00BB519F">
        <w:rPr>
          <w:rFonts w:hint="eastAsia"/>
        </w:rPr>
        <w:t>7</w:t>
      </w:r>
      <w:r>
        <w:rPr>
          <w:rFonts w:hint="eastAsia"/>
        </w:rPr>
        <w:t>年度の事業者全体の調整後排出係数を用いることができる。</w:t>
      </w:r>
    </w:p>
    <w:p w14:paraId="44BC9617" w14:textId="77777777" w:rsidR="0095439E" w:rsidRDefault="0095439E" w:rsidP="0095439E">
      <w:pPr>
        <w:pStyle w:val="a9"/>
        <w:spacing w:line="320" w:lineRule="exact"/>
        <w:ind w:left="284" w:firstLineChars="100" w:firstLine="220"/>
      </w:pPr>
    </w:p>
    <w:p w14:paraId="7A859F02" w14:textId="37457F52" w:rsidR="00A60C06" w:rsidRDefault="00F24EBA" w:rsidP="00A60C06">
      <w:pPr>
        <w:pStyle w:val="a9"/>
        <w:spacing w:line="320" w:lineRule="exact"/>
        <w:ind w:left="284" w:firstLineChars="100" w:firstLine="220"/>
      </w:pPr>
      <w:r>
        <w:rPr>
          <w:rFonts w:hint="eastAsia"/>
        </w:rPr>
        <w:t>線形評価とし、0.435 kg-CO2/kWhを下回る場合は20点を上限に加点し、上回る場合は減点する。</w:t>
      </w:r>
      <w:r w:rsidR="006D231C">
        <w:rPr>
          <w:rFonts w:hint="eastAsia"/>
        </w:rPr>
        <w:t>なお、0.250 kg-CO2/kWh以下は</w:t>
      </w:r>
      <w:r w:rsidR="00296E14">
        <w:rPr>
          <w:rFonts w:hint="eastAsia"/>
        </w:rPr>
        <w:t>満点</w:t>
      </w:r>
      <w:r w:rsidR="006D231C">
        <w:rPr>
          <w:rFonts w:hint="eastAsia"/>
        </w:rPr>
        <w:t>を与える。</w:t>
      </w:r>
    </w:p>
    <w:p w14:paraId="57B8057F" w14:textId="77777777" w:rsidR="00065613" w:rsidRDefault="00065613" w:rsidP="00A60C06">
      <w:pPr>
        <w:pStyle w:val="a9"/>
        <w:spacing w:line="320" w:lineRule="exact"/>
        <w:ind w:left="284" w:firstLineChars="100" w:firstLine="220"/>
      </w:pPr>
    </w:p>
    <w:p w14:paraId="4C514DDB" w14:textId="77777777" w:rsidR="00A60C06" w:rsidRPr="00B45A2F" w:rsidRDefault="00A60C06" w:rsidP="00637E34">
      <w:pPr>
        <w:pStyle w:val="6"/>
        <w:spacing w:line="-240" w:lineRule="auto"/>
        <w:ind w:left="440"/>
      </w:pPr>
      <w:r w:rsidRPr="00B45A2F">
        <w:rPr>
          <w:rFonts w:hint="eastAsia"/>
        </w:rPr>
        <w:t>【線形評価式</w:t>
      </w:r>
      <w:r>
        <w:rPr>
          <w:rFonts w:hint="eastAsia"/>
        </w:rPr>
        <w:t>及び</w:t>
      </w:r>
      <w:r w:rsidRPr="00B45A2F">
        <w:rPr>
          <w:rFonts w:hint="eastAsia"/>
        </w:rPr>
        <w:t>評価点のグラフ】</w:t>
      </w:r>
    </w:p>
    <w:p w14:paraId="6624A79E" w14:textId="77777777" w:rsidR="00A60C06" w:rsidRPr="00C9648A" w:rsidRDefault="00A60C06" w:rsidP="00637E34">
      <w:pPr>
        <w:spacing w:beforeLines="50" w:before="180" w:line="-240" w:lineRule="auto"/>
        <w:ind w:leftChars="300" w:left="660"/>
        <w:rPr>
          <w:b/>
          <w:bCs/>
          <w:i/>
          <w:sz w:val="28"/>
          <w:szCs w:val="28"/>
        </w:rPr>
      </w:pPr>
      <w:r w:rsidRPr="00A60C06">
        <w:rPr>
          <w:rFonts w:ascii="Verdana" w:eastAsia="ＭＳ ゴシック" w:hAnsi="Verdana" w:hint="eastAsia"/>
          <w:b/>
          <w:szCs w:val="22"/>
        </w:rPr>
        <w:t>加算点ア：</w:t>
      </w:r>
      <w:r>
        <w:rPr>
          <w:rFonts w:eastAsia="HG丸ｺﾞｼｯｸM-PRO" w:hint="eastAsia"/>
          <w:b/>
          <w:sz w:val="24"/>
          <w:szCs w:val="28"/>
        </w:rPr>
        <w:t xml:space="preserve">　</w:t>
      </w:r>
      <m:oMath>
        <m:r>
          <m:rPr>
            <m:sty m:val="bi"/>
          </m:rPr>
          <w:rPr>
            <w:rFonts w:ascii="Cambria Math" w:hAnsi="Cambria Math"/>
            <w:sz w:val="28"/>
            <w:szCs w:val="28"/>
          </w:rPr>
          <m:t>y</m:t>
        </m:r>
        <m:r>
          <m:rPr>
            <m:sty m:val="bi"/>
          </m:rPr>
          <w:rPr>
            <w:rFonts w:ascii="Cambria Math" w:hAnsi="Cambria Math" w:hint="eastAsia"/>
            <w:sz w:val="28"/>
            <w:szCs w:val="28"/>
          </w:rPr>
          <m:t>=</m:t>
        </m:r>
        <m:r>
          <m:rPr>
            <m:sty m:val="bi"/>
          </m:rPr>
          <w:rPr>
            <w:rFonts w:ascii="Cambria Math" w:hAnsi="Cambria Math" w:hint="eastAsia"/>
            <w:sz w:val="28"/>
            <w:szCs w:val="28"/>
          </w:rPr>
          <m:t>-</m:t>
        </m:r>
        <m:f>
          <m:fPr>
            <m:ctrlPr>
              <w:rPr>
                <w:rFonts w:ascii="Cambria Math" w:hAnsi="Cambria Math"/>
                <w:b/>
                <w:bCs/>
                <w:i/>
                <w:sz w:val="28"/>
                <w:szCs w:val="28"/>
              </w:rPr>
            </m:ctrlPr>
          </m:fPr>
          <m:num>
            <m:r>
              <m:rPr>
                <m:sty m:val="bi"/>
              </m:rPr>
              <w:rPr>
                <w:rFonts w:ascii="Cambria Math" w:hAnsi="Cambria Math"/>
                <w:sz w:val="28"/>
                <w:szCs w:val="28"/>
              </w:rPr>
              <m:t>40</m:t>
            </m:r>
            <m:r>
              <m:rPr>
                <m:sty m:val="bi"/>
              </m:rPr>
              <w:rPr>
                <w:rFonts w:ascii="Cambria Math" w:hAnsi="Cambria Math" w:hint="eastAsia"/>
                <w:sz w:val="28"/>
                <w:szCs w:val="28"/>
              </w:rPr>
              <m:t>00</m:t>
            </m:r>
          </m:num>
          <m:den>
            <m:r>
              <m:rPr>
                <m:sty m:val="bi"/>
              </m:rPr>
              <w:rPr>
                <w:rFonts w:ascii="Cambria Math" w:hAnsi="Cambria Math" w:hint="eastAsia"/>
                <w:sz w:val="28"/>
                <w:szCs w:val="28"/>
              </w:rPr>
              <m:t>37</m:t>
            </m:r>
          </m:den>
        </m:f>
        <m:r>
          <m:rPr>
            <m:sty m:val="bi"/>
          </m:rPr>
          <w:rPr>
            <w:rFonts w:ascii="Cambria Math" w:hAnsi="Cambria Math"/>
            <w:sz w:val="28"/>
            <w:szCs w:val="28"/>
          </w:rPr>
          <m:t>x</m:t>
        </m:r>
        <m:r>
          <m:rPr>
            <m:sty m:val="bi"/>
          </m:rPr>
          <w:rPr>
            <w:rFonts w:ascii="Cambria Math" w:hAnsi="Cambria Math" w:hint="eastAsia"/>
            <w:sz w:val="28"/>
            <w:szCs w:val="28"/>
          </w:rPr>
          <m:t>+</m:t>
        </m:r>
        <m:f>
          <m:fPr>
            <m:ctrlPr>
              <w:rPr>
                <w:rFonts w:ascii="Cambria Math" w:hAnsi="Cambria Math"/>
                <w:b/>
                <w:bCs/>
                <w:i/>
                <w:sz w:val="28"/>
                <w:szCs w:val="28"/>
              </w:rPr>
            </m:ctrlPr>
          </m:fPr>
          <m:num>
            <m:r>
              <m:rPr>
                <m:sty m:val="bi"/>
              </m:rPr>
              <w:rPr>
                <w:rFonts w:ascii="Cambria Math" w:hAnsi="Cambria Math" w:hint="eastAsia"/>
                <w:sz w:val="28"/>
                <w:szCs w:val="28"/>
              </w:rPr>
              <m:t>1740</m:t>
            </m:r>
          </m:num>
          <m:den>
            <m:r>
              <m:rPr>
                <m:sty m:val="bi"/>
              </m:rPr>
              <w:rPr>
                <w:rFonts w:ascii="Cambria Math" w:hAnsi="Cambria Math" w:hint="eastAsia"/>
                <w:sz w:val="28"/>
                <w:szCs w:val="28"/>
              </w:rPr>
              <m:t>37</m:t>
            </m:r>
          </m:den>
        </m:f>
        <m:r>
          <m:rPr>
            <m:sty m:val="bi"/>
          </m:rPr>
          <w:rPr>
            <w:rFonts w:ascii="Cambria Math" w:hAnsi="Cambria Math" w:hint="eastAsia"/>
            <w:sz w:val="28"/>
            <w:szCs w:val="28"/>
          </w:rPr>
          <m:t xml:space="preserve">　</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0,x</m:t>
        </m:r>
        <m:r>
          <m:rPr>
            <m:sty m:val="bi"/>
          </m:rPr>
          <w:rPr>
            <w:rFonts w:ascii="Cambria Math" w:hAnsi="Cambria Math"/>
            <w:sz w:val="28"/>
            <w:szCs w:val="28"/>
          </w:rPr>
          <m:t>&lt;</m:t>
        </m:r>
        <m:r>
          <m:rPr>
            <m:sty m:val="bi"/>
          </m:rPr>
          <w:rPr>
            <w:rFonts w:ascii="Cambria Math" w:hAnsi="Cambria Math" w:hint="eastAsia"/>
            <w:sz w:val="28"/>
            <w:szCs w:val="28"/>
          </w:rPr>
          <m:t>0.250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20)</m:t>
        </m:r>
      </m:oMath>
    </w:p>
    <w:p w14:paraId="273F492B" w14:textId="77777777" w:rsidR="00A60C06" w:rsidRPr="00FD48D4" w:rsidRDefault="00A60C06" w:rsidP="00A60C06">
      <w:pPr>
        <w:spacing w:beforeLines="50" w:before="180"/>
        <w:jc w:val="center"/>
      </w:pPr>
      <w:r>
        <w:rPr>
          <w:noProof/>
        </w:rPr>
        <w:drawing>
          <wp:inline distT="0" distB="0" distL="0" distR="0" wp14:anchorId="2F27BCD7" wp14:editId="574616B4">
            <wp:extent cx="4133850" cy="3308251"/>
            <wp:effectExtent l="0" t="0" r="0" b="6985"/>
            <wp:docPr id="51903116"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03116" name="図 1" descr="グラフ, 折れ線グラフ&#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243" cy="3325372"/>
                    </a:xfrm>
                    <a:prstGeom prst="rect">
                      <a:avLst/>
                    </a:prstGeom>
                    <a:noFill/>
                    <a:ln>
                      <a:noFill/>
                    </a:ln>
                  </pic:spPr>
                </pic:pic>
              </a:graphicData>
            </a:graphic>
          </wp:inline>
        </w:drawing>
      </w:r>
    </w:p>
    <w:p w14:paraId="41E6B842" w14:textId="13230750" w:rsidR="00A60C06" w:rsidRDefault="00A60C06" w:rsidP="00A60C06">
      <w:pPr>
        <w:pStyle w:val="af6"/>
      </w:pPr>
      <w:r w:rsidRPr="00A255FA">
        <w:rPr>
          <w:rFonts w:hint="eastAsia"/>
        </w:rPr>
        <w:t>図</w:t>
      </w:r>
      <w:r w:rsidRPr="00A255FA">
        <w:rPr>
          <w:rFonts w:ascii="ＭＳ Ｐゴシック" w:eastAsia="ＭＳ Ｐゴシック" w:hAnsi="ＭＳ Ｐゴシック" w:hint="eastAsia"/>
        </w:rPr>
        <w:t>Ⅱ</w:t>
      </w:r>
      <w:r w:rsidRPr="00A255FA">
        <w:rPr>
          <w:rFonts w:hint="eastAsia"/>
        </w:rPr>
        <w:t>－</w:t>
      </w:r>
      <w:r w:rsidRPr="00A255FA">
        <w:t>2</w:t>
      </w:r>
      <w:r w:rsidRPr="00A255FA">
        <w:rPr>
          <w:rFonts w:hint="eastAsia"/>
        </w:rPr>
        <w:t>.1</w:t>
      </w:r>
      <w:r w:rsidRPr="00A255FA">
        <w:rPr>
          <w:rFonts w:hint="eastAsia"/>
        </w:rPr>
        <w:t>－</w:t>
      </w:r>
      <w:r w:rsidRPr="00A255FA">
        <w:rPr>
          <w:rFonts w:hint="eastAsia"/>
        </w:rPr>
        <w:t>1</w:t>
      </w:r>
      <w:r w:rsidRPr="00A255FA">
        <w:rPr>
          <w:rFonts w:hint="eastAsia"/>
        </w:rPr>
        <w:t xml:space="preserve">　事</w:t>
      </w:r>
      <w:r>
        <w:rPr>
          <w:rFonts w:hint="eastAsia"/>
        </w:rPr>
        <w:t>業者全体の二酸化炭素排出係数に係る評価式及び評価図（加算点）</w:t>
      </w:r>
    </w:p>
    <w:p w14:paraId="4B379A50" w14:textId="77777777" w:rsidR="00A60C06" w:rsidRPr="00835255" w:rsidRDefault="00A60C06" w:rsidP="00A60C06">
      <w:pPr>
        <w:pStyle w:val="af4"/>
        <w:ind w:leftChars="100" w:left="220" w:firstLine="220"/>
        <w:rPr>
          <w:i/>
          <w:iCs/>
        </w:rPr>
      </w:pPr>
      <w:r w:rsidRPr="00835255">
        <w:rPr>
          <w:rFonts w:hint="eastAsia"/>
          <w:i/>
          <w:iCs/>
        </w:rPr>
        <w:t>なお、線形評価に当たっては自動算定用のエクセルを</w:t>
      </w:r>
      <w:r w:rsidRPr="00835255">
        <w:rPr>
          <w:rFonts w:ascii="ＭＳ ゴシック" w:eastAsia="ＭＳ ゴシック" w:hAnsi="ＭＳ ゴシック" w:hint="eastAsia"/>
          <w:i/>
          <w:iCs/>
          <w:u w:val="single"/>
        </w:rPr>
        <w:t>環境省のホームページに掲載</w:t>
      </w:r>
      <w:r w:rsidRPr="00835255">
        <w:rPr>
          <w:rFonts w:hint="eastAsia"/>
          <w:i/>
          <w:iCs/>
        </w:rPr>
        <w:t>しているので参考にされたい（以下同じ）。</w:t>
      </w:r>
    </w:p>
    <w:p w14:paraId="32A7F7EA" w14:textId="77777777" w:rsidR="006D231C" w:rsidRDefault="006D231C" w:rsidP="006D231C">
      <w:pPr>
        <w:pStyle w:val="a9"/>
        <w:spacing w:line="320" w:lineRule="exact"/>
        <w:ind w:firstLineChars="100" w:firstLine="220"/>
      </w:pPr>
    </w:p>
    <w:p w14:paraId="041D72C4" w14:textId="77777777" w:rsidR="00C9648A" w:rsidRDefault="00C9648A">
      <w:pPr>
        <w:widowControl/>
      </w:pPr>
      <w:r>
        <w:br w:type="page"/>
      </w:r>
    </w:p>
    <w:p w14:paraId="47A4612B" w14:textId="1AF6AB7C" w:rsidR="006D231C" w:rsidRPr="00B46C3F" w:rsidRDefault="006D231C" w:rsidP="0095439E">
      <w:pPr>
        <w:pStyle w:val="a9"/>
        <w:spacing w:line="320" w:lineRule="exact"/>
        <w:ind w:leftChars="-69" w:left="0" w:hangingChars="69" w:hanging="152"/>
        <w:rPr>
          <w:b/>
          <w:bCs/>
        </w:rPr>
      </w:pPr>
      <w:r w:rsidRPr="00B46C3F">
        <w:rPr>
          <w:rFonts w:hint="eastAsia"/>
          <w:b/>
          <w:bCs/>
        </w:rPr>
        <w:lastRenderedPageBreak/>
        <w:t>イ　調達電力に占める再エネ電気の割合</w:t>
      </w:r>
    </w:p>
    <w:p w14:paraId="34FF5EBC" w14:textId="5FBF9F0C" w:rsidR="0011322B" w:rsidRDefault="0011322B" w:rsidP="0095439E">
      <w:pPr>
        <w:pStyle w:val="a9"/>
        <w:spacing w:line="320" w:lineRule="exact"/>
        <w:ind w:left="284"/>
      </w:pPr>
      <w:r>
        <w:rPr>
          <w:rFonts w:hint="eastAsia"/>
        </w:rPr>
        <w:t xml:space="preserve">　評価対象の再エネ電気は１「落札方式」で定めるとおり。線形評価とし、50%を上回る場合に加点し、100％</w:t>
      </w:r>
      <w:r w:rsidR="00296E14">
        <w:rPr>
          <w:rFonts w:hint="eastAsia"/>
        </w:rPr>
        <w:t>で満点</w:t>
      </w:r>
      <w:r w:rsidR="00E53A02">
        <w:rPr>
          <w:rFonts w:hint="eastAsia"/>
        </w:rPr>
        <w:t>を与える。</w:t>
      </w:r>
    </w:p>
    <w:p w14:paraId="37F6B962" w14:textId="77777777" w:rsidR="0011322B" w:rsidRDefault="0011322B" w:rsidP="00C9648A">
      <w:pPr>
        <w:pStyle w:val="a9"/>
        <w:spacing w:line="320" w:lineRule="exact"/>
      </w:pPr>
    </w:p>
    <w:p w14:paraId="22651E15" w14:textId="77777777" w:rsidR="00637E34" w:rsidRPr="00B45A2F" w:rsidRDefault="00637E34" w:rsidP="00C9648A">
      <w:pPr>
        <w:pStyle w:val="6"/>
        <w:spacing w:line="320" w:lineRule="exact"/>
        <w:ind w:left="440"/>
      </w:pPr>
      <w:r w:rsidRPr="00B45A2F">
        <w:rPr>
          <w:rFonts w:hint="eastAsia"/>
        </w:rPr>
        <w:t>【線形評価式</w:t>
      </w:r>
      <w:r>
        <w:rPr>
          <w:rFonts w:hint="eastAsia"/>
        </w:rPr>
        <w:t>及び</w:t>
      </w:r>
      <w:r w:rsidRPr="00B45A2F">
        <w:rPr>
          <w:rFonts w:hint="eastAsia"/>
        </w:rPr>
        <w:t>評価点のグラフ】</w:t>
      </w:r>
    </w:p>
    <w:p w14:paraId="1C3FBFDB" w14:textId="77777777" w:rsidR="00637E34" w:rsidRPr="00637E34" w:rsidRDefault="00637E34" w:rsidP="00C9648A">
      <w:pPr>
        <w:spacing w:beforeLines="50" w:before="180" w:line="320" w:lineRule="exact"/>
        <w:ind w:leftChars="300" w:left="660"/>
        <w:rPr>
          <w:b/>
          <w:bCs/>
          <w:i/>
          <w:sz w:val="24"/>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イ：</w:t>
      </w:r>
      <w:r>
        <w:rPr>
          <w:rFonts w:eastAsia="HG丸ｺﾞｼｯｸM-PRO" w:hint="eastAsia"/>
          <w:b/>
          <w:sz w:val="24"/>
          <w:szCs w:val="28"/>
        </w:rPr>
        <w:t xml:space="preserve">　</w:t>
      </w:r>
      <m:oMath>
        <m:r>
          <m:rPr>
            <m:sty m:val="bi"/>
          </m:rPr>
          <w:rPr>
            <w:rFonts w:ascii="Cambria Math" w:hAnsi="Cambria Math"/>
            <w:sz w:val="28"/>
            <w:szCs w:val="28"/>
          </w:rPr>
          <m:t>y</m:t>
        </m:r>
        <m:r>
          <m:rPr>
            <m:sty m:val="bi"/>
          </m:rPr>
          <w:rPr>
            <w:rFonts w:ascii="Cambria Math" w:hAnsi="Cambria Math" w:hint="eastAsia"/>
            <w:sz w:val="28"/>
            <w:szCs w:val="28"/>
          </w:rPr>
          <m:t>=</m:t>
        </m:r>
        <m:f>
          <m:fPr>
            <m:ctrlPr>
              <w:rPr>
                <w:rFonts w:ascii="Cambria Math" w:hAnsi="Cambria Math"/>
                <w:b/>
                <w:i/>
                <w:sz w:val="28"/>
                <w:szCs w:val="28"/>
              </w:rPr>
            </m:ctrlPr>
          </m:fPr>
          <m:num>
            <m:r>
              <m:rPr>
                <m:sty m:val="bi"/>
              </m:rPr>
              <w:rPr>
                <w:rFonts w:ascii="Cambria Math" w:hAnsi="Cambria Math" w:hint="eastAsia"/>
                <w:sz w:val="28"/>
                <w:szCs w:val="28"/>
              </w:rPr>
              <m:t>1</m:t>
            </m:r>
          </m:num>
          <m:den>
            <m:r>
              <m:rPr>
                <m:sty m:val="bi"/>
              </m:rPr>
              <w:rPr>
                <w:rFonts w:ascii="Cambria Math" w:hAnsi="Cambria Math" w:hint="eastAsia"/>
                <w:sz w:val="28"/>
                <w:szCs w:val="28"/>
              </w:rPr>
              <m:t>5</m:t>
            </m:r>
          </m:den>
        </m:f>
        <m:r>
          <m:rPr>
            <m:sty m:val="bi"/>
          </m:rPr>
          <w:rPr>
            <w:rFonts w:ascii="Cambria Math" w:hAnsi="Cambria Math"/>
            <w:sz w:val="28"/>
            <w:szCs w:val="28"/>
          </w:rPr>
          <m:t>x-</m:t>
        </m:r>
        <m:r>
          <m:rPr>
            <m:sty m:val="bi"/>
          </m:rPr>
          <w:rPr>
            <w:rFonts w:ascii="Cambria Math" w:hAnsi="Cambria Math" w:hint="eastAsia"/>
            <w:sz w:val="28"/>
            <w:szCs w:val="28"/>
          </w:rPr>
          <m:t>10</m:t>
        </m:r>
        <m:r>
          <m:rPr>
            <m:sty m:val="bi"/>
          </m:rPr>
          <w:rPr>
            <w:rFonts w:ascii="Cambria Math" w:hAnsi="Cambria Math" w:hint="eastAsia"/>
            <w:sz w:val="28"/>
            <w:szCs w:val="28"/>
          </w:rPr>
          <m:t xml:space="preserve">　</m:t>
        </m:r>
        <m:r>
          <m:rPr>
            <m:sty m:val="bi"/>
          </m:rPr>
          <w:rPr>
            <w:rFonts w:ascii="Cambria Math" w:hAnsi="Cambria Math" w:hint="eastAsia"/>
            <w:sz w:val="28"/>
            <w:szCs w:val="28"/>
          </w:rPr>
          <m:t>(0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m:t>
        </m:r>
        <m:r>
          <m:rPr>
            <m:sty m:val="bi"/>
          </m:rPr>
          <w:rPr>
            <w:rFonts w:ascii="Cambria Math" w:hAnsi="Cambria Math" w:hint="eastAsia"/>
            <w:sz w:val="28"/>
            <w:szCs w:val="28"/>
          </w:rPr>
          <m:t>100</m:t>
        </m:r>
        <m:r>
          <m:rPr>
            <m:sty m:val="bi"/>
          </m:rPr>
          <w:rPr>
            <w:rFonts w:ascii="Cambria Math" w:hAnsi="Cambria Math"/>
            <w:sz w:val="28"/>
            <w:szCs w:val="28"/>
          </w:rPr>
          <m:t>,</m:t>
        </m:r>
        <m:r>
          <m:rPr>
            <m:sty m:val="bi"/>
          </m:rPr>
          <w:rPr>
            <w:rFonts w:ascii="Cambria Math" w:hAnsi="Cambria Math" w:hint="eastAsia"/>
            <w:sz w:val="28"/>
            <w:szCs w:val="28"/>
          </w:rPr>
          <m:t>x</m:t>
        </m:r>
        <m:r>
          <m:rPr>
            <m:sty m:val="bi"/>
          </m:rPr>
          <w:rPr>
            <w:rFonts w:ascii="Cambria Math" w:hAnsi="Cambria Math"/>
            <w:sz w:val="28"/>
            <w:szCs w:val="28"/>
          </w:rPr>
          <m:t>&lt;5</m:t>
        </m:r>
        <m:r>
          <m:rPr>
            <m:sty m:val="bi"/>
          </m:rPr>
          <w:rPr>
            <w:rFonts w:ascii="Cambria Math" w:hAnsi="Cambria Math" w:hint="eastAsia"/>
            <w:sz w:val="28"/>
            <w:szCs w:val="28"/>
          </w:rPr>
          <m:t>0</m:t>
        </m:r>
        <m:r>
          <m:rPr>
            <m:sty m:val="bi"/>
          </m:rPr>
          <w:rPr>
            <w:rFonts w:ascii="Cambria Math" w:hAnsi="Cambria Math" w:hint="eastAsia"/>
            <w:sz w:val="28"/>
            <w:szCs w:val="28"/>
          </w:rPr>
          <m:t>→</m:t>
        </m:r>
        <m:r>
          <m:rPr>
            <m:sty m:val="bi"/>
          </m:rPr>
          <w:rPr>
            <w:rFonts w:ascii="Cambria Math" w:hAnsi="Cambria Math" w:hint="eastAsia"/>
            <w:sz w:val="28"/>
            <w:szCs w:val="28"/>
          </w:rPr>
          <m:t>x=0)</m:t>
        </m:r>
      </m:oMath>
    </w:p>
    <w:p w14:paraId="54AFFF30" w14:textId="77777777" w:rsidR="00637E34" w:rsidRPr="00FD48D4" w:rsidRDefault="00637E34" w:rsidP="00637E34">
      <w:pPr>
        <w:spacing w:beforeLines="50" w:before="180"/>
        <w:jc w:val="center"/>
      </w:pPr>
      <w:r w:rsidRPr="0074328D">
        <w:rPr>
          <w:noProof/>
        </w:rPr>
        <w:drawing>
          <wp:inline distT="0" distB="0" distL="0" distR="0" wp14:anchorId="18F53128" wp14:editId="6B5EBCD7">
            <wp:extent cx="4407149" cy="3524250"/>
            <wp:effectExtent l="0" t="0" r="0" b="0"/>
            <wp:docPr id="17358792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3614" cy="3561406"/>
                    </a:xfrm>
                    <a:prstGeom prst="rect">
                      <a:avLst/>
                    </a:prstGeom>
                    <a:noFill/>
                    <a:ln>
                      <a:noFill/>
                    </a:ln>
                  </pic:spPr>
                </pic:pic>
              </a:graphicData>
            </a:graphic>
          </wp:inline>
        </w:drawing>
      </w:r>
    </w:p>
    <w:p w14:paraId="7EDDAAFA" w14:textId="238E2897" w:rsidR="00637E34" w:rsidRDefault="00637E34" w:rsidP="00637E34">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00065613">
        <w:rPr>
          <w:rFonts w:hint="eastAsia"/>
        </w:rPr>
        <w:t>2</w:t>
      </w:r>
      <w:r>
        <w:rPr>
          <w:rFonts w:hint="eastAsia"/>
        </w:rPr>
        <w:t xml:space="preserve">　</w:t>
      </w:r>
      <w:r w:rsidRPr="003C32F2">
        <w:rPr>
          <w:rFonts w:hint="eastAsia"/>
        </w:rPr>
        <w:t>調達</w:t>
      </w:r>
      <w:r>
        <w:rPr>
          <w:rFonts w:hint="eastAsia"/>
        </w:rPr>
        <w:t>電力に占める</w:t>
      </w:r>
      <w:r w:rsidRPr="003C32F2">
        <w:rPr>
          <w:rFonts w:hint="eastAsia"/>
        </w:rPr>
        <w:t>再エネ電気</w:t>
      </w:r>
      <w:r>
        <w:rPr>
          <w:rFonts w:hint="eastAsia"/>
        </w:rPr>
        <w:t>の割合に係る評価式及び評価図（加算点）</w:t>
      </w:r>
    </w:p>
    <w:p w14:paraId="537DF677" w14:textId="77777777" w:rsidR="00637E34" w:rsidRPr="00637E34" w:rsidRDefault="00637E34" w:rsidP="00F24EBA">
      <w:pPr>
        <w:pStyle w:val="a9"/>
        <w:spacing w:line="320" w:lineRule="exact"/>
      </w:pPr>
    </w:p>
    <w:p w14:paraId="0F6F9542" w14:textId="77777777" w:rsidR="00C9648A" w:rsidRDefault="00C9648A">
      <w:pPr>
        <w:widowControl/>
      </w:pPr>
      <w:r>
        <w:br w:type="page"/>
      </w:r>
    </w:p>
    <w:p w14:paraId="298CDD8B" w14:textId="36E1CC83" w:rsidR="0011322B" w:rsidRPr="00B46C3F" w:rsidRDefault="0011322B" w:rsidP="0095439E">
      <w:pPr>
        <w:pStyle w:val="a9"/>
        <w:spacing w:line="320" w:lineRule="exact"/>
        <w:ind w:leftChars="-69" w:left="0" w:hangingChars="69" w:hanging="152"/>
        <w:rPr>
          <w:b/>
          <w:bCs/>
        </w:rPr>
      </w:pPr>
      <w:r w:rsidRPr="00B46C3F">
        <w:rPr>
          <w:rFonts w:hint="eastAsia"/>
          <w:b/>
          <w:bCs/>
        </w:rPr>
        <w:lastRenderedPageBreak/>
        <w:t>ウ　再エネの導入状況</w:t>
      </w:r>
    </w:p>
    <w:p w14:paraId="6EC58941" w14:textId="43094761" w:rsidR="0011322B" w:rsidRDefault="0011322B" w:rsidP="0095439E">
      <w:pPr>
        <w:pStyle w:val="a9"/>
        <w:spacing w:line="320" w:lineRule="exact"/>
        <w:ind w:left="284"/>
      </w:pPr>
      <w:r>
        <w:rPr>
          <w:rFonts w:hint="eastAsia"/>
        </w:rPr>
        <w:t xml:space="preserve">　</w:t>
      </w:r>
      <w:r w:rsidRPr="0011322B">
        <w:rPr>
          <w:rFonts w:hint="eastAsia"/>
        </w:rPr>
        <w:t>再エネ</w:t>
      </w:r>
      <w:r w:rsidR="00DB7EE4">
        <w:rPr>
          <w:rFonts w:hint="eastAsia"/>
        </w:rPr>
        <w:t>の</w:t>
      </w:r>
      <w:r w:rsidRPr="0011322B">
        <w:rPr>
          <w:rFonts w:hint="eastAsia"/>
        </w:rPr>
        <w:t>導入状況とは、次の①から⑤に示した再エネ電気の利用量（</w:t>
      </w:r>
      <w:r w:rsidRPr="0011322B">
        <w:t>kWh</w:t>
      </w:r>
      <w:r w:rsidRPr="0011322B">
        <w:rPr>
          <w:rFonts w:hint="eastAsia"/>
        </w:rPr>
        <w:t>）を前年度の供給電力量（需要端）（</w:t>
      </w:r>
      <w:r w:rsidRPr="0011322B">
        <w:t>kWh</w:t>
      </w:r>
      <w:r w:rsidRPr="0011322B">
        <w:rPr>
          <w:rFonts w:hint="eastAsia"/>
        </w:rPr>
        <w:t>）で除した数値。ただし、①から⑤の再エネ電気の利用量は前年度に小売電気事業者の調整後排出係数の算定に用いたものに限る。</w:t>
      </w:r>
    </w:p>
    <w:p w14:paraId="1C8B358E" w14:textId="77777777" w:rsidR="0095439E" w:rsidRPr="0011322B" w:rsidRDefault="0095439E" w:rsidP="0095439E">
      <w:pPr>
        <w:pStyle w:val="a9"/>
        <w:spacing w:line="320" w:lineRule="exact"/>
        <w:ind w:left="284"/>
      </w:pPr>
    </w:p>
    <w:p w14:paraId="2B2F8284" w14:textId="10304225" w:rsidR="0011322B" w:rsidRPr="0011322B" w:rsidRDefault="0011322B" w:rsidP="0095439E">
      <w:pPr>
        <w:pStyle w:val="a9"/>
        <w:spacing w:line="320" w:lineRule="exact"/>
        <w:ind w:left="284"/>
      </w:pPr>
      <w:r w:rsidRPr="0011322B">
        <w:rPr>
          <w:rFonts w:hint="eastAsia"/>
        </w:rPr>
        <w:t>①自社施設で発生した再エネ電気又は相対契約によって他者から購入した再生可能エネルギー電気とセットで供給されることで再エネ電源が特定できる非FIT非化石証書の量（送電端（kWh））</w:t>
      </w:r>
    </w:p>
    <w:p w14:paraId="58AEDE30" w14:textId="77777777" w:rsidR="0011322B" w:rsidRPr="0011322B" w:rsidRDefault="0011322B" w:rsidP="0095439E">
      <w:pPr>
        <w:pStyle w:val="a9"/>
        <w:spacing w:line="320" w:lineRule="exact"/>
        <w:ind w:left="284"/>
      </w:pPr>
      <w:r w:rsidRPr="0011322B">
        <w:rPr>
          <w:rFonts w:hint="eastAsia"/>
        </w:rPr>
        <w:t>②グリーンエネルギーCO</w:t>
      </w:r>
      <w:r w:rsidRPr="0011322B">
        <w:rPr>
          <w:rFonts w:hint="eastAsia"/>
          <w:vertAlign w:val="subscript"/>
        </w:rPr>
        <w:t>2</w:t>
      </w:r>
      <w:r w:rsidRPr="0011322B">
        <w:rPr>
          <w:rFonts w:hint="eastAsia"/>
        </w:rPr>
        <w:t>削減相当量認証制度</w:t>
      </w:r>
      <w:r w:rsidRPr="0011322B">
        <w:rPr>
          <w:vertAlign w:val="superscript"/>
        </w:rPr>
        <w:footnoteReference w:id="1"/>
      </w:r>
      <w:r w:rsidRPr="0011322B">
        <w:rPr>
          <w:rFonts w:hint="eastAsia"/>
        </w:rPr>
        <w:t>により所内消費分の電力に由来するものとして認証されたグリーンエネルギーCO</w:t>
      </w:r>
      <w:r w:rsidRPr="0011322B">
        <w:rPr>
          <w:rFonts w:hint="eastAsia"/>
          <w:vertAlign w:val="subscript"/>
        </w:rPr>
        <w:t>2</w:t>
      </w:r>
      <w:r w:rsidRPr="0011322B">
        <w:rPr>
          <w:rFonts w:hint="eastAsia"/>
        </w:rPr>
        <w:t>削減相当量に相当するグリーンエネルギー証書（電力）</w:t>
      </w:r>
      <w:r w:rsidRPr="0011322B">
        <w:rPr>
          <w:vertAlign w:val="superscript"/>
        </w:rPr>
        <w:footnoteReference w:id="2"/>
      </w:r>
      <w:r w:rsidRPr="0011322B">
        <w:rPr>
          <w:rFonts w:hint="eastAsia"/>
        </w:rPr>
        <w:t>の量（kWh）</w:t>
      </w:r>
    </w:p>
    <w:p w14:paraId="478EC848" w14:textId="110232AA" w:rsidR="0011322B" w:rsidRPr="0011322B" w:rsidRDefault="0011322B" w:rsidP="0095439E">
      <w:pPr>
        <w:pStyle w:val="a9"/>
        <w:spacing w:line="320" w:lineRule="exact"/>
        <w:ind w:left="284"/>
      </w:pPr>
      <w:r w:rsidRPr="0011322B">
        <w:rPr>
          <w:rFonts w:hint="eastAsia"/>
        </w:rPr>
        <w:t>③J－クレジット制度</w:t>
      </w:r>
      <w:r w:rsidRPr="0011322B">
        <w:rPr>
          <w:vertAlign w:val="superscript"/>
        </w:rPr>
        <w:footnoteReference w:id="3"/>
      </w:r>
      <w:r w:rsidRPr="0011322B">
        <w:rPr>
          <w:rFonts w:hint="eastAsia"/>
        </w:rPr>
        <w:t>により認証された再エネ電気由来クレジットの電力相当量（kWh）</w:t>
      </w:r>
    </w:p>
    <w:p w14:paraId="4BA63AC3" w14:textId="65227051" w:rsidR="0011322B" w:rsidRPr="0011322B" w:rsidRDefault="0011322B" w:rsidP="0095439E">
      <w:pPr>
        <w:pStyle w:val="a9"/>
        <w:spacing w:line="320" w:lineRule="exact"/>
        <w:ind w:left="284"/>
      </w:pPr>
      <w:r w:rsidRPr="0011322B">
        <w:rPr>
          <w:rFonts w:hint="eastAsia"/>
        </w:rPr>
        <w:t>④非化石価値取引市場</w:t>
      </w:r>
      <w:r w:rsidRPr="0011322B">
        <w:rPr>
          <w:vertAlign w:val="superscript"/>
        </w:rPr>
        <w:footnoteReference w:id="4"/>
      </w:r>
      <w:r w:rsidRPr="0011322B">
        <w:rPr>
          <w:rFonts w:hint="eastAsia"/>
        </w:rPr>
        <w:t>から調達した固定価格買取制度による再エネ電気に係る非化石証書の量（kWh）</w:t>
      </w:r>
    </w:p>
    <w:p w14:paraId="4329250E" w14:textId="565A25D2" w:rsidR="0011322B" w:rsidRPr="0011322B" w:rsidRDefault="0011322B" w:rsidP="0095439E">
      <w:pPr>
        <w:pStyle w:val="a9"/>
        <w:spacing w:line="320" w:lineRule="exact"/>
        <w:ind w:left="284"/>
      </w:pPr>
      <w:r w:rsidRPr="0011322B">
        <w:rPr>
          <w:rFonts w:hint="eastAsia"/>
        </w:rPr>
        <w:t>⑤非化石価値取引市場から調達した再エネ電気であることが判別できるトラッキング付非FIT非化石証書の量（kWh）</w:t>
      </w:r>
    </w:p>
    <w:p w14:paraId="6E4E2F5F" w14:textId="1C7F583D" w:rsidR="0011322B" w:rsidRDefault="0011322B" w:rsidP="00F24EBA">
      <w:pPr>
        <w:pStyle w:val="a9"/>
        <w:spacing w:line="320" w:lineRule="exact"/>
      </w:pPr>
    </w:p>
    <w:p w14:paraId="30EC2194" w14:textId="77777777" w:rsidR="0011322B" w:rsidRPr="009375C3" w:rsidRDefault="0011322B" w:rsidP="0011322B">
      <w:pPr>
        <w:spacing w:line="240" w:lineRule="exact"/>
        <w:rPr>
          <w:rFonts w:ascii="ＭＳ ゴシック" w:eastAsia="ＭＳ ゴシック" w:hAnsi="ＭＳ ゴシック"/>
          <w:sz w:val="20"/>
        </w:rPr>
      </w:pPr>
      <w:r w:rsidRPr="009375C3">
        <w:rPr>
          <w:rFonts w:ascii="ＭＳ ゴシック" w:eastAsia="ＭＳ ゴシック" w:hAnsi="ＭＳ ゴシック" w:hint="eastAsia"/>
          <w:sz w:val="20"/>
        </w:rPr>
        <w:t>（算定方式）</w:t>
      </w:r>
    </w:p>
    <w:tbl>
      <w:tblPr>
        <w:tblW w:w="9553" w:type="dxa"/>
        <w:jc w:val="center"/>
        <w:tblLayout w:type="fixed"/>
        <w:tblCellMar>
          <w:left w:w="99" w:type="dxa"/>
          <w:right w:w="99" w:type="dxa"/>
        </w:tblCellMar>
        <w:tblLook w:val="0000" w:firstRow="0" w:lastRow="0" w:firstColumn="0" w:lastColumn="0" w:noHBand="0" w:noVBand="0"/>
      </w:tblPr>
      <w:tblGrid>
        <w:gridCol w:w="3880"/>
        <w:gridCol w:w="4932"/>
        <w:gridCol w:w="741"/>
      </w:tblGrid>
      <w:tr w:rsidR="0011322B" w14:paraId="79A64CE9" w14:textId="77777777" w:rsidTr="00E12E2E">
        <w:trPr>
          <w:jc w:val="center"/>
        </w:trPr>
        <w:tc>
          <w:tcPr>
            <w:tcW w:w="3880" w:type="dxa"/>
            <w:vMerge w:val="restart"/>
            <w:vAlign w:val="center"/>
          </w:tcPr>
          <w:p w14:paraId="6DD0FF95" w14:textId="77777777" w:rsidR="0011322B" w:rsidRPr="00751107" w:rsidRDefault="0011322B" w:rsidP="00E12E2E">
            <w:pPr>
              <w:pStyle w:val="ad"/>
              <w:keepNext/>
              <w:spacing w:line="300" w:lineRule="exact"/>
              <w:ind w:left="0" w:firstLine="0"/>
              <w:jc w:val="right"/>
              <w:outlineLvl w:val="3"/>
              <w:rPr>
                <w:rFonts w:ascii="Arial" w:eastAsia="ＭＳ ゴシック" w:hAnsi="Arial" w:cs="Arial"/>
                <w:sz w:val="20"/>
              </w:rPr>
            </w:pPr>
            <w:r w:rsidRPr="00E0633D">
              <w:rPr>
                <w:rFonts w:ascii="Arial" w:eastAsia="ＭＳ ゴシック" w:hAnsi="ＭＳ ゴシック" w:cs="Arial"/>
                <w:w w:val="81"/>
                <w:sz w:val="20"/>
                <w:fitText w:val="3200" w:id="-611651584"/>
              </w:rPr>
              <w:t>前年度の</w:t>
            </w:r>
            <w:r w:rsidRPr="00E0633D">
              <w:rPr>
                <w:rFonts w:ascii="Arial" w:eastAsia="ＭＳ ゴシック" w:hAnsi="ＭＳ ゴシック" w:cs="Arial" w:hint="eastAsia"/>
                <w:w w:val="81"/>
                <w:sz w:val="20"/>
                <w:fitText w:val="3200" w:id="-611651584"/>
              </w:rPr>
              <w:t>再生可能エネルギーの導入状況</w:t>
            </w:r>
            <w:r w:rsidRPr="00E0633D">
              <w:rPr>
                <w:rFonts w:ascii="Arial" w:eastAsia="ＭＳ ゴシック" w:hAnsi="ＭＳ ゴシック" w:cs="Arial"/>
                <w:w w:val="81"/>
                <w:sz w:val="20"/>
                <w:fitText w:val="3200" w:id="-611651584"/>
              </w:rPr>
              <w:t>(%</w:t>
            </w:r>
            <w:r w:rsidRPr="00E0633D">
              <w:rPr>
                <w:rFonts w:ascii="Arial" w:eastAsia="ＭＳ ゴシック" w:hAnsi="ＭＳ ゴシック" w:cs="Arial"/>
                <w:spacing w:val="32"/>
                <w:w w:val="81"/>
                <w:sz w:val="20"/>
                <w:fitText w:val="3200" w:id="-611651584"/>
              </w:rPr>
              <w:t>)</w:t>
            </w:r>
            <w:r w:rsidRPr="00751107">
              <w:rPr>
                <w:rFonts w:ascii="Arial" w:eastAsia="ＭＳ ゴシック" w:hAnsi="Arial" w:cs="Arial"/>
                <w:sz w:val="20"/>
              </w:rPr>
              <w:t xml:space="preserve"> </w:t>
            </w:r>
            <w:r w:rsidRPr="00751107">
              <w:rPr>
                <w:rFonts w:ascii="Arial" w:eastAsia="ＭＳ ゴシック" w:hAnsi="ＭＳ ゴシック" w:cs="Arial"/>
                <w:sz w:val="20"/>
              </w:rPr>
              <w:t>＝</w:t>
            </w:r>
          </w:p>
        </w:tc>
        <w:tc>
          <w:tcPr>
            <w:tcW w:w="4932" w:type="dxa"/>
            <w:tcBorders>
              <w:bottom w:val="single" w:sz="4" w:space="0" w:color="auto"/>
            </w:tcBorders>
          </w:tcPr>
          <w:p w14:paraId="05E9E8A6"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0"/>
              </w:rPr>
            </w:pPr>
            <w:r w:rsidRPr="0011322B">
              <w:rPr>
                <w:rFonts w:ascii="Arial" w:eastAsia="ＭＳ ゴシック" w:hAnsi="ＭＳ ゴシック" w:cs="Arial"/>
                <w:w w:val="61"/>
                <w:sz w:val="20"/>
                <w:fitText w:val="4600" w:id="-611651583"/>
              </w:rPr>
              <w:t>前年度の</w:t>
            </w:r>
            <w:r w:rsidRPr="0011322B">
              <w:rPr>
                <w:rFonts w:ascii="Arial" w:eastAsia="ＭＳ ゴシック" w:hAnsi="ＭＳ ゴシック" w:cs="Arial" w:hint="eastAsia"/>
                <w:w w:val="61"/>
                <w:sz w:val="20"/>
                <w:fitText w:val="4600" w:id="-611651583"/>
              </w:rPr>
              <w:t>再生可能エネルギー電気の利用量（送電端）（①＋②＋③＋④＋⑤）</w:t>
            </w:r>
            <w:r w:rsidRPr="0011322B">
              <w:rPr>
                <w:rFonts w:ascii="Arial" w:eastAsia="ＭＳ ゴシック" w:hAnsi="ＭＳ ゴシック" w:cs="Arial" w:hint="eastAsia"/>
                <w:w w:val="61"/>
                <w:sz w:val="20"/>
                <w:fitText w:val="4600" w:id="-611651583"/>
              </w:rPr>
              <w:t>(kWh</w:t>
            </w:r>
            <w:r w:rsidRPr="0011322B">
              <w:rPr>
                <w:rFonts w:ascii="Arial" w:eastAsia="ＭＳ ゴシック" w:hAnsi="ＭＳ ゴシック" w:cs="Arial" w:hint="eastAsia"/>
                <w:spacing w:val="9"/>
                <w:w w:val="61"/>
                <w:sz w:val="20"/>
                <w:fitText w:val="4600" w:id="-611651583"/>
              </w:rPr>
              <w:t>)</w:t>
            </w:r>
          </w:p>
        </w:tc>
        <w:tc>
          <w:tcPr>
            <w:tcW w:w="741" w:type="dxa"/>
            <w:vMerge w:val="restart"/>
            <w:vAlign w:val="center"/>
          </w:tcPr>
          <w:p w14:paraId="798EE2F8"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0"/>
              </w:rPr>
            </w:pPr>
            <w:r>
              <w:rPr>
                <w:rFonts w:ascii="Arial" w:eastAsia="ＭＳ ゴシック" w:hAnsi="Arial" w:cs="Arial" w:hint="eastAsia"/>
                <w:sz w:val="20"/>
              </w:rPr>
              <w:t>×</w:t>
            </w:r>
            <w:r>
              <w:rPr>
                <w:rFonts w:ascii="Arial" w:eastAsia="ＭＳ ゴシック" w:hAnsi="Arial" w:cs="Arial" w:hint="eastAsia"/>
                <w:sz w:val="20"/>
              </w:rPr>
              <w:t>100</w:t>
            </w:r>
          </w:p>
        </w:tc>
      </w:tr>
      <w:tr w:rsidR="0011322B" w:rsidRPr="0019720B" w14:paraId="152F4E59" w14:textId="77777777" w:rsidTr="00E12E2E">
        <w:trPr>
          <w:jc w:val="center"/>
        </w:trPr>
        <w:tc>
          <w:tcPr>
            <w:tcW w:w="3880" w:type="dxa"/>
            <w:vMerge/>
          </w:tcPr>
          <w:p w14:paraId="7BE17A8E" w14:textId="77777777" w:rsidR="0011322B" w:rsidRPr="00751107" w:rsidRDefault="0011322B" w:rsidP="00E12E2E">
            <w:pPr>
              <w:pStyle w:val="ad"/>
              <w:keepNext/>
              <w:spacing w:line="300" w:lineRule="exact"/>
              <w:ind w:left="0" w:firstLine="0"/>
              <w:jc w:val="center"/>
              <w:outlineLvl w:val="3"/>
              <w:rPr>
                <w:rFonts w:ascii="Arial" w:eastAsia="ＭＳ ゴシック" w:hAnsi="Arial" w:cs="Arial"/>
                <w:sz w:val="21"/>
                <w:szCs w:val="21"/>
              </w:rPr>
            </w:pPr>
          </w:p>
        </w:tc>
        <w:tc>
          <w:tcPr>
            <w:tcW w:w="4932" w:type="dxa"/>
            <w:tcBorders>
              <w:top w:val="single" w:sz="4" w:space="0" w:color="auto"/>
            </w:tcBorders>
          </w:tcPr>
          <w:p w14:paraId="142799CB" w14:textId="77777777" w:rsidR="0011322B" w:rsidRPr="00751107" w:rsidRDefault="0011322B" w:rsidP="00E12E2E">
            <w:pPr>
              <w:spacing w:line="300" w:lineRule="exact"/>
              <w:jc w:val="center"/>
              <w:rPr>
                <w:rFonts w:ascii="Arial" w:eastAsia="ＭＳ ゴシック" w:hAnsi="Arial" w:cs="Arial"/>
                <w:sz w:val="20"/>
              </w:rPr>
            </w:pPr>
            <w:r w:rsidRPr="00751107">
              <w:rPr>
                <w:rFonts w:ascii="Arial" w:eastAsia="ＭＳ ゴシック" w:hAnsi="ＭＳ ゴシック" w:cs="Arial"/>
                <w:sz w:val="20"/>
              </w:rPr>
              <w:t>前年度の供給電力量（</w:t>
            </w:r>
            <w:r>
              <w:rPr>
                <w:rFonts w:ascii="Arial" w:eastAsia="ＭＳ ゴシック" w:hAnsi="ＭＳ ゴシック" w:cs="Arial" w:hint="eastAsia"/>
                <w:sz w:val="20"/>
              </w:rPr>
              <w:t>需要</w:t>
            </w:r>
            <w:r w:rsidRPr="00751107">
              <w:rPr>
                <w:rFonts w:ascii="Arial" w:eastAsia="ＭＳ ゴシック" w:hAnsi="ＭＳ ゴシック" w:cs="Arial"/>
                <w:sz w:val="20"/>
              </w:rPr>
              <w:t>端）</w:t>
            </w:r>
            <w:r>
              <w:rPr>
                <w:rFonts w:ascii="Arial" w:eastAsia="ＭＳ ゴシック" w:hAnsi="ＭＳ ゴシック" w:cs="Arial" w:hint="eastAsia"/>
                <w:sz w:val="20"/>
              </w:rPr>
              <w:t>(kWh)</w:t>
            </w:r>
          </w:p>
        </w:tc>
        <w:tc>
          <w:tcPr>
            <w:tcW w:w="741" w:type="dxa"/>
            <w:vMerge/>
          </w:tcPr>
          <w:p w14:paraId="4E43AC21" w14:textId="77777777" w:rsidR="0011322B" w:rsidRPr="00751107" w:rsidRDefault="0011322B" w:rsidP="00E12E2E">
            <w:pPr>
              <w:spacing w:line="300" w:lineRule="exact"/>
              <w:jc w:val="center"/>
              <w:rPr>
                <w:rFonts w:ascii="Arial" w:eastAsia="ＭＳ ゴシック" w:hAnsi="Arial" w:cs="Arial"/>
                <w:sz w:val="20"/>
              </w:rPr>
            </w:pPr>
          </w:p>
        </w:tc>
      </w:tr>
    </w:tbl>
    <w:p w14:paraId="21A517A2" w14:textId="77777777" w:rsidR="0011322B" w:rsidRDefault="0011322B" w:rsidP="0011322B">
      <w:pPr>
        <w:spacing w:line="240" w:lineRule="exact"/>
        <w:rPr>
          <w:sz w:val="20"/>
        </w:rPr>
      </w:pPr>
      <w:r>
        <w:rPr>
          <w:rFonts w:hint="eastAsia"/>
          <w:sz w:val="20"/>
        </w:rPr>
        <w:t xml:space="preserve">　　　</w:t>
      </w:r>
    </w:p>
    <w:p w14:paraId="25F8A8C7" w14:textId="77777777" w:rsidR="00293648" w:rsidRDefault="00293648">
      <w:pPr>
        <w:widowControl/>
        <w:rPr>
          <w:sz w:val="20"/>
        </w:rPr>
      </w:pPr>
      <w:r>
        <w:rPr>
          <w:sz w:val="20"/>
        </w:rPr>
        <w:br w:type="page"/>
      </w:r>
    </w:p>
    <w:p w14:paraId="1778FB93" w14:textId="72BCB113" w:rsidR="00B71075" w:rsidRPr="00DC33C2" w:rsidRDefault="00DC33C2" w:rsidP="00DC33C2">
      <w:pPr>
        <w:spacing w:line="240" w:lineRule="exact"/>
        <w:ind w:leftChars="257" w:left="565" w:firstLineChars="100" w:firstLine="220"/>
        <w:rPr>
          <w:szCs w:val="22"/>
        </w:rPr>
      </w:pPr>
      <w:r w:rsidRPr="00DC33C2">
        <w:rPr>
          <w:rFonts w:hint="eastAsia"/>
          <w:szCs w:val="22"/>
        </w:rPr>
        <w:lastRenderedPageBreak/>
        <w:t>事業者全体の供給電力量に占める再生可能エネルギー電気の導入割合を評価する。導入していれば加点することとし、</w:t>
      </w:r>
      <w:r w:rsidRPr="00DC33C2">
        <w:rPr>
          <w:szCs w:val="22"/>
        </w:rPr>
        <w:t>15%を満点として5点を上限に線形評価する。</w:t>
      </w:r>
    </w:p>
    <w:p w14:paraId="0F2D2A9F" w14:textId="77777777" w:rsidR="00DC33C2" w:rsidRPr="00DC33C2" w:rsidRDefault="00DC33C2" w:rsidP="0011322B">
      <w:pPr>
        <w:spacing w:line="240" w:lineRule="exact"/>
        <w:ind w:firstLineChars="300" w:firstLine="600"/>
        <w:rPr>
          <w:sz w:val="20"/>
        </w:rPr>
      </w:pPr>
    </w:p>
    <w:p w14:paraId="5A9615E6" w14:textId="77777777" w:rsidR="00B71075" w:rsidRPr="00B45A2F" w:rsidRDefault="00B71075" w:rsidP="00B71075">
      <w:pPr>
        <w:pStyle w:val="6"/>
        <w:spacing w:line="240" w:lineRule="exact"/>
        <w:ind w:left="440"/>
      </w:pPr>
      <w:r w:rsidRPr="00B45A2F">
        <w:rPr>
          <w:rFonts w:hint="eastAsia"/>
        </w:rPr>
        <w:t>【線形評価式</w:t>
      </w:r>
      <w:r>
        <w:rPr>
          <w:rFonts w:hint="eastAsia"/>
        </w:rPr>
        <w:t>及び</w:t>
      </w:r>
      <w:r w:rsidRPr="00B45A2F">
        <w:rPr>
          <w:rFonts w:hint="eastAsia"/>
        </w:rPr>
        <w:t>評価点のグラフ】</w:t>
      </w:r>
    </w:p>
    <w:p w14:paraId="4AD310D0" w14:textId="77777777" w:rsidR="00B71075" w:rsidRPr="007063F4" w:rsidRDefault="00B71075" w:rsidP="00B71075">
      <w:pPr>
        <w:spacing w:beforeLines="50" w:before="180" w:line="240" w:lineRule="exact"/>
        <w:ind w:leftChars="300" w:left="660"/>
        <w:rPr>
          <w:b/>
          <w:bCs/>
          <w:i/>
          <w:sz w:val="24"/>
          <w:szCs w:val="28"/>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ウ：</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1</m:t>
            </m:r>
          </m:num>
          <m:den>
            <m:r>
              <m:rPr>
                <m:sty m:val="bi"/>
              </m:rPr>
              <w:rPr>
                <w:rFonts w:ascii="Cambria Math" w:hAnsi="Cambria Math" w:hint="eastAsia"/>
                <w:sz w:val="28"/>
                <w:szCs w:val="32"/>
              </w:rPr>
              <m:t>3</m:t>
            </m:r>
          </m:den>
        </m:f>
        <m:r>
          <m:rPr>
            <m:sty m:val="bi"/>
          </m:rPr>
          <w:rPr>
            <w:rFonts w:ascii="Cambria Math" w:hAnsi="Cambria Math"/>
            <w:sz w:val="28"/>
            <w:szCs w:val="32"/>
          </w:rPr>
          <m:t>x</m:t>
        </m:r>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100,x</m:t>
        </m:r>
        <m:r>
          <m:rPr>
            <m:sty m:val="bi"/>
          </m:rPr>
          <w:rPr>
            <w:rFonts w:ascii="Cambria Math" w:hAnsi="Cambria Math"/>
            <w:sz w:val="28"/>
            <w:szCs w:val="32"/>
          </w:rPr>
          <m:t>&gt;</m:t>
        </m:r>
        <m:r>
          <m:rPr>
            <m:sty m:val="bi"/>
          </m:rPr>
          <w:rPr>
            <w:rFonts w:ascii="Cambria Math" w:hAnsi="Cambria Math" w:hint="eastAsia"/>
            <w:sz w:val="28"/>
            <w:szCs w:val="32"/>
          </w:rPr>
          <m:t>15</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5)</m:t>
        </m:r>
      </m:oMath>
    </w:p>
    <w:p w14:paraId="1E38E9DC" w14:textId="77777777" w:rsidR="00B71075" w:rsidRPr="00FD48D4" w:rsidRDefault="00B71075" w:rsidP="00B71075">
      <w:pPr>
        <w:spacing w:beforeLines="50" w:before="180"/>
        <w:jc w:val="center"/>
      </w:pPr>
      <w:r w:rsidRPr="00E23139">
        <w:rPr>
          <w:noProof/>
        </w:rPr>
        <w:drawing>
          <wp:inline distT="0" distB="0" distL="0" distR="0" wp14:anchorId="59F111E5" wp14:editId="4D6A5ECC">
            <wp:extent cx="4191000" cy="3351403"/>
            <wp:effectExtent l="0" t="0" r="0" b="1905"/>
            <wp:docPr id="36814932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9170" cy="3365933"/>
                    </a:xfrm>
                    <a:prstGeom prst="rect">
                      <a:avLst/>
                    </a:prstGeom>
                    <a:noFill/>
                    <a:ln>
                      <a:noFill/>
                    </a:ln>
                  </pic:spPr>
                </pic:pic>
              </a:graphicData>
            </a:graphic>
          </wp:inline>
        </w:drawing>
      </w:r>
    </w:p>
    <w:p w14:paraId="08705ECA" w14:textId="3DC188AB" w:rsidR="00B71075" w:rsidRDefault="00B71075" w:rsidP="00B71075">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Pr>
          <w:rFonts w:hint="eastAsia"/>
        </w:rPr>
        <w:t>3</w:t>
      </w:r>
      <w:r>
        <w:rPr>
          <w:rFonts w:hint="eastAsia"/>
        </w:rPr>
        <w:t xml:space="preserve">　</w:t>
      </w:r>
      <w:r w:rsidRPr="003C32F2">
        <w:rPr>
          <w:rFonts w:hint="eastAsia"/>
        </w:rPr>
        <w:t>再エネ</w:t>
      </w:r>
      <w:r>
        <w:rPr>
          <w:rFonts w:hint="eastAsia"/>
        </w:rPr>
        <w:t>の導入状況に係る評価式及び評価図（加算点）</w:t>
      </w:r>
    </w:p>
    <w:p w14:paraId="2ABE1E1D" w14:textId="77777777" w:rsidR="00B71075" w:rsidRPr="00B71075" w:rsidRDefault="00B71075" w:rsidP="0011322B">
      <w:pPr>
        <w:spacing w:line="240" w:lineRule="exact"/>
        <w:ind w:firstLineChars="300" w:firstLine="600"/>
        <w:rPr>
          <w:sz w:val="20"/>
        </w:rPr>
      </w:pPr>
    </w:p>
    <w:p w14:paraId="31A45C7D" w14:textId="77777777" w:rsidR="00293648" w:rsidRDefault="00293648">
      <w:pPr>
        <w:widowControl/>
        <w:rPr>
          <w:sz w:val="24"/>
          <w:szCs w:val="26"/>
        </w:rPr>
      </w:pPr>
      <w:r>
        <w:rPr>
          <w:sz w:val="24"/>
          <w:szCs w:val="26"/>
        </w:rPr>
        <w:br w:type="page"/>
      </w:r>
    </w:p>
    <w:p w14:paraId="489C5816" w14:textId="5D4702EF" w:rsidR="0011322B" w:rsidRPr="00B46C3F" w:rsidRDefault="0011322B" w:rsidP="003C528A">
      <w:pPr>
        <w:pStyle w:val="a9"/>
        <w:spacing w:line="320" w:lineRule="exact"/>
        <w:ind w:leftChars="-129" w:left="0" w:hangingChars="129" w:hanging="284"/>
        <w:rPr>
          <w:b/>
          <w:bCs/>
        </w:rPr>
      </w:pPr>
      <w:r w:rsidRPr="00B46C3F">
        <w:rPr>
          <w:rFonts w:hint="eastAsia"/>
          <w:b/>
          <w:bCs/>
        </w:rPr>
        <w:lastRenderedPageBreak/>
        <w:t>エ</w:t>
      </w:r>
      <w:r w:rsidR="003C528A" w:rsidRPr="00B46C3F">
        <w:rPr>
          <w:rFonts w:hint="eastAsia"/>
          <w:b/>
          <w:bCs/>
        </w:rPr>
        <w:t xml:space="preserve">　</w:t>
      </w:r>
      <w:r w:rsidR="00256FC6" w:rsidRPr="00B46C3F">
        <w:rPr>
          <w:rFonts w:hint="eastAsia"/>
          <w:b/>
          <w:bCs/>
        </w:rPr>
        <w:t>未利用エネルギー</w:t>
      </w:r>
      <w:r w:rsidR="002C4034" w:rsidRPr="00B46C3F">
        <w:rPr>
          <w:rStyle w:val="ac"/>
          <w:b/>
          <w:bCs/>
        </w:rPr>
        <w:footnoteReference w:id="5"/>
      </w:r>
      <w:r w:rsidR="00256FC6" w:rsidRPr="00B46C3F">
        <w:rPr>
          <w:rFonts w:hint="eastAsia"/>
          <w:b/>
          <w:bCs/>
        </w:rPr>
        <w:t>の活用状況</w:t>
      </w:r>
    </w:p>
    <w:p w14:paraId="43644E5C" w14:textId="00F1A915" w:rsidR="00C3725F" w:rsidRPr="00C3725F" w:rsidRDefault="00C3725F" w:rsidP="00C3725F">
      <w:pPr>
        <w:pStyle w:val="a9"/>
        <w:spacing w:line="320" w:lineRule="exact"/>
        <w:ind w:leftChars="-129" w:left="0" w:hangingChars="129" w:hanging="284"/>
      </w:pPr>
      <w:r w:rsidRPr="00C3725F">
        <w:rPr>
          <w:rFonts w:hint="eastAsia"/>
        </w:rPr>
        <w:t xml:space="preserve">　</w:t>
      </w:r>
      <w:r w:rsidR="00555E28">
        <w:rPr>
          <w:rFonts w:hint="eastAsia"/>
        </w:rPr>
        <w:t xml:space="preserve">　</w:t>
      </w:r>
      <w:r w:rsidRPr="00C3725F">
        <w:rPr>
          <w:rFonts w:hint="eastAsia"/>
        </w:rPr>
        <w:t>未利用エネルギーの有効活用の観点から、前年度における未利用エネルギーの活用比率を使用する。算出方法は、以下のとおりとする。</w:t>
      </w:r>
    </w:p>
    <w:p w14:paraId="7A1EFBA8" w14:textId="77777777" w:rsidR="00C3725F" w:rsidRPr="00C3725F" w:rsidRDefault="00C3725F" w:rsidP="00C3725F">
      <w:pPr>
        <w:pStyle w:val="a9"/>
        <w:spacing w:line="320" w:lineRule="exact"/>
        <w:ind w:leftChars="-129" w:left="0" w:hangingChars="129" w:hanging="284"/>
      </w:pPr>
    </w:p>
    <w:p w14:paraId="11A95857" w14:textId="77777777" w:rsidR="00C3725F" w:rsidRPr="00C3725F" w:rsidRDefault="00C3725F" w:rsidP="00555E28">
      <w:pPr>
        <w:pStyle w:val="a9"/>
        <w:spacing w:line="320" w:lineRule="exact"/>
        <w:ind w:left="0"/>
      </w:pPr>
      <w:r w:rsidRPr="00C3725F">
        <w:rPr>
          <w:rFonts w:hint="eastAsia"/>
        </w:rPr>
        <w:t>前年度の未利用エネルギーによる発電電力量（送電端）（</w:t>
      </w:r>
      <w:r w:rsidRPr="00C3725F">
        <w:t>kWh</w:t>
      </w:r>
      <w:r w:rsidRPr="00C3725F">
        <w:rPr>
          <w:rFonts w:hint="eastAsia"/>
        </w:rPr>
        <w:t>）を前年度の供給電力量（需要端）（</w:t>
      </w:r>
      <w:r w:rsidRPr="00C3725F">
        <w:t>kWh</w:t>
      </w:r>
      <w:r w:rsidRPr="00C3725F">
        <w:rPr>
          <w:rFonts w:hint="eastAsia"/>
        </w:rPr>
        <w:t>）で除した数値</w:t>
      </w:r>
    </w:p>
    <w:p w14:paraId="28AEC245" w14:textId="77777777" w:rsidR="00C3725F" w:rsidRPr="00C3725F" w:rsidRDefault="00C3725F" w:rsidP="00C3725F">
      <w:pPr>
        <w:pStyle w:val="a9"/>
        <w:spacing w:line="320" w:lineRule="exact"/>
        <w:ind w:leftChars="-129" w:left="0" w:hangingChars="129" w:hanging="284"/>
      </w:pPr>
    </w:p>
    <w:p w14:paraId="535FA18A" w14:textId="77777777" w:rsidR="00C3725F" w:rsidRPr="00C3725F" w:rsidRDefault="00C3725F" w:rsidP="00C3725F">
      <w:pPr>
        <w:pStyle w:val="a9"/>
        <w:spacing w:line="320" w:lineRule="exact"/>
        <w:ind w:leftChars="-129" w:left="0" w:hangingChars="129" w:hanging="284"/>
      </w:pPr>
      <w:r w:rsidRPr="00C3725F">
        <w:rPr>
          <w:rFonts w:hint="eastAsia"/>
        </w:rPr>
        <w:t>（算定方式）</w:t>
      </w:r>
    </w:p>
    <w:tbl>
      <w:tblPr>
        <w:tblW w:w="883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99" w:type="dxa"/>
          <w:right w:w="99" w:type="dxa"/>
        </w:tblCellMar>
        <w:tblLook w:val="0000" w:firstRow="0" w:lastRow="0" w:firstColumn="0" w:lastColumn="0" w:noHBand="0" w:noVBand="0"/>
      </w:tblPr>
      <w:tblGrid>
        <w:gridCol w:w="4395"/>
        <w:gridCol w:w="3612"/>
        <w:gridCol w:w="827"/>
      </w:tblGrid>
      <w:tr w:rsidR="00C3725F" w:rsidRPr="00C3725F" w14:paraId="03A904FC" w14:textId="77777777" w:rsidTr="00CA5E46">
        <w:trPr>
          <w:trHeight w:val="730"/>
          <w:jc w:val="center"/>
        </w:trPr>
        <w:tc>
          <w:tcPr>
            <w:tcW w:w="4395" w:type="dxa"/>
            <w:vMerge w:val="restart"/>
            <w:tcBorders>
              <w:top w:val="nil"/>
              <w:left w:val="nil"/>
              <w:right w:val="nil"/>
            </w:tcBorders>
            <w:vAlign w:val="center"/>
          </w:tcPr>
          <w:p w14:paraId="16C5081F" w14:textId="0E81D5BE" w:rsidR="00C3725F" w:rsidRPr="00C3725F" w:rsidRDefault="00555E28" w:rsidP="00555E28">
            <w:pPr>
              <w:spacing w:line="320" w:lineRule="exact"/>
            </w:pPr>
            <w:r>
              <w:rPr>
                <w:rFonts w:hint="eastAsia"/>
              </w:rPr>
              <w:t xml:space="preserve">前年度の未利用エネルギーの活用状況（％）　　　　　　　　　　　　　</w:t>
            </w:r>
            <w:r w:rsidR="00CA5E46">
              <w:rPr>
                <w:rFonts w:hint="eastAsia"/>
              </w:rPr>
              <w:t xml:space="preserve">　　</w:t>
            </w:r>
            <w:r>
              <w:rPr>
                <w:rFonts w:hint="eastAsia"/>
              </w:rPr>
              <w:t>＝</w:t>
            </w:r>
          </w:p>
        </w:tc>
        <w:tc>
          <w:tcPr>
            <w:tcW w:w="3612" w:type="dxa"/>
            <w:tcBorders>
              <w:top w:val="nil"/>
              <w:left w:val="nil"/>
              <w:bottom w:val="single" w:sz="4" w:space="0" w:color="auto"/>
              <w:right w:val="nil"/>
            </w:tcBorders>
          </w:tcPr>
          <w:p w14:paraId="1FD550B3" w14:textId="17AF68D9" w:rsidR="00C3725F" w:rsidRPr="00C3725F" w:rsidRDefault="00555E28" w:rsidP="00351E04">
            <w:pPr>
              <w:spacing w:line="320" w:lineRule="exact"/>
              <w:jc w:val="center"/>
            </w:pPr>
            <w:r>
              <w:rPr>
                <w:rFonts w:hint="eastAsia"/>
              </w:rPr>
              <w:t>前年度の未利用エネルギーによる発電電力量</w:t>
            </w:r>
            <w:r w:rsidR="00C3725F" w:rsidRPr="00C3725F">
              <w:rPr>
                <w:rFonts w:hint="eastAsia"/>
              </w:rPr>
              <w:t>（送電端）(kWh)</w:t>
            </w:r>
          </w:p>
        </w:tc>
        <w:tc>
          <w:tcPr>
            <w:tcW w:w="827" w:type="dxa"/>
            <w:vMerge w:val="restart"/>
            <w:tcBorders>
              <w:top w:val="nil"/>
              <w:left w:val="nil"/>
              <w:right w:val="nil"/>
            </w:tcBorders>
            <w:vAlign w:val="center"/>
          </w:tcPr>
          <w:p w14:paraId="5585A8C9" w14:textId="3858AC82" w:rsidR="00C3725F" w:rsidRPr="00C3725F" w:rsidRDefault="00555E28" w:rsidP="00555E28">
            <w:pPr>
              <w:spacing w:line="320" w:lineRule="exact"/>
            </w:pPr>
            <w:r>
              <w:rPr>
                <w:rFonts w:hint="eastAsia"/>
              </w:rPr>
              <w:t>×</w:t>
            </w:r>
            <w:r w:rsidR="00C3725F" w:rsidRPr="00C3725F">
              <w:rPr>
                <w:rFonts w:hint="eastAsia"/>
              </w:rPr>
              <w:t>100</w:t>
            </w:r>
          </w:p>
        </w:tc>
      </w:tr>
      <w:tr w:rsidR="00C3725F" w:rsidRPr="00C3725F" w14:paraId="32B4CB9A" w14:textId="77777777" w:rsidTr="00CA5E46">
        <w:trPr>
          <w:trHeight w:val="163"/>
          <w:jc w:val="center"/>
        </w:trPr>
        <w:tc>
          <w:tcPr>
            <w:tcW w:w="4395" w:type="dxa"/>
            <w:vMerge/>
            <w:tcBorders>
              <w:left w:val="nil"/>
              <w:bottom w:val="nil"/>
              <w:right w:val="nil"/>
            </w:tcBorders>
          </w:tcPr>
          <w:p w14:paraId="0630E27C" w14:textId="77777777" w:rsidR="00C3725F" w:rsidRPr="00C3725F" w:rsidRDefault="00C3725F" w:rsidP="00C3725F">
            <w:pPr>
              <w:pStyle w:val="a9"/>
              <w:spacing w:line="320" w:lineRule="exact"/>
              <w:ind w:leftChars="-129" w:left="0" w:hangingChars="129" w:hanging="284"/>
            </w:pPr>
          </w:p>
        </w:tc>
        <w:tc>
          <w:tcPr>
            <w:tcW w:w="3612" w:type="dxa"/>
            <w:tcBorders>
              <w:top w:val="single" w:sz="4" w:space="0" w:color="auto"/>
              <w:left w:val="nil"/>
              <w:bottom w:val="nil"/>
              <w:right w:val="nil"/>
            </w:tcBorders>
          </w:tcPr>
          <w:p w14:paraId="1C6D6599" w14:textId="586B9B23" w:rsidR="00C3725F" w:rsidRPr="00C3725F" w:rsidRDefault="00555E28" w:rsidP="00351E04">
            <w:pPr>
              <w:spacing w:line="320" w:lineRule="exact"/>
              <w:jc w:val="center"/>
            </w:pPr>
            <w:r>
              <w:rPr>
                <w:rFonts w:hint="eastAsia"/>
              </w:rPr>
              <w:t>前年度の供給電力量</w:t>
            </w:r>
            <w:r w:rsidR="00C3725F" w:rsidRPr="00C3725F">
              <w:t>（</w:t>
            </w:r>
            <w:r w:rsidR="00C3725F" w:rsidRPr="00C3725F">
              <w:rPr>
                <w:rFonts w:hint="eastAsia"/>
              </w:rPr>
              <w:t>需要</w:t>
            </w:r>
            <w:r w:rsidR="00C3725F" w:rsidRPr="00C3725F">
              <w:t>端）</w:t>
            </w:r>
            <w:r w:rsidR="00C3725F" w:rsidRPr="00C3725F">
              <w:rPr>
                <w:rFonts w:hint="eastAsia"/>
              </w:rPr>
              <w:t>(kWh)</w:t>
            </w:r>
          </w:p>
        </w:tc>
        <w:tc>
          <w:tcPr>
            <w:tcW w:w="827" w:type="dxa"/>
            <w:vMerge/>
            <w:tcBorders>
              <w:left w:val="nil"/>
              <w:bottom w:val="nil"/>
              <w:right w:val="nil"/>
            </w:tcBorders>
          </w:tcPr>
          <w:p w14:paraId="2BDF5B0D" w14:textId="77777777" w:rsidR="00C3725F" w:rsidRPr="00C3725F" w:rsidRDefault="00C3725F" w:rsidP="00C3725F">
            <w:pPr>
              <w:pStyle w:val="a9"/>
              <w:spacing w:line="320" w:lineRule="exact"/>
              <w:ind w:leftChars="-129" w:left="0" w:hangingChars="129" w:hanging="284"/>
            </w:pPr>
          </w:p>
        </w:tc>
      </w:tr>
    </w:tbl>
    <w:p w14:paraId="5CF3B088" w14:textId="77777777" w:rsidR="00C3725F" w:rsidRPr="00C3725F" w:rsidRDefault="00C3725F" w:rsidP="00C3725F">
      <w:pPr>
        <w:pStyle w:val="a9"/>
        <w:spacing w:line="320" w:lineRule="exact"/>
        <w:ind w:leftChars="-129" w:left="0" w:hangingChars="129" w:hanging="284"/>
      </w:pPr>
    </w:p>
    <w:p w14:paraId="1B6D712A" w14:textId="77777777" w:rsidR="00180BE2" w:rsidRPr="00180BE2" w:rsidRDefault="00180BE2" w:rsidP="00180BE2">
      <w:pPr>
        <w:pStyle w:val="a9"/>
        <w:spacing w:line="320" w:lineRule="exact"/>
        <w:ind w:left="0" w:firstLineChars="100" w:firstLine="220"/>
      </w:pPr>
      <w:r w:rsidRPr="00180BE2">
        <w:rPr>
          <w:rFonts w:hint="eastAsia"/>
        </w:rPr>
        <w:t>未利用エネルギーによる発電を行う際に、他の化石燃料等の未利用エネルギーに該当しないものと混燃する場合は、以下の方法により未利用エネルギーによる発電量を算出する。</w:t>
      </w:r>
    </w:p>
    <w:p w14:paraId="509B140D" w14:textId="77777777" w:rsidR="00180BE2" w:rsidRPr="00180BE2" w:rsidRDefault="00180BE2" w:rsidP="00180BE2">
      <w:pPr>
        <w:pStyle w:val="a9"/>
        <w:spacing w:line="320" w:lineRule="exact"/>
        <w:ind w:leftChars="-129" w:left="0" w:hangingChars="129" w:hanging="284"/>
      </w:pPr>
      <w:r w:rsidRPr="00180BE2">
        <w:rPr>
          <w:rFonts w:hint="eastAsia"/>
        </w:rPr>
        <w:t>①未利用エネルギー及び未利用エネルギーに該当しない化石燃料等の双方の実測による燃焼時の熱量が判明する場合は、発電電力量を熱量により按分する。</w:t>
      </w:r>
    </w:p>
    <w:p w14:paraId="685D0E9D" w14:textId="77777777" w:rsidR="00180BE2" w:rsidRPr="00180BE2" w:rsidRDefault="00180BE2" w:rsidP="00180BE2">
      <w:pPr>
        <w:pStyle w:val="a9"/>
        <w:spacing w:line="320" w:lineRule="exact"/>
        <w:ind w:leftChars="-129" w:left="0" w:hangingChars="129" w:hanging="284"/>
      </w:pPr>
      <w:r w:rsidRPr="00180BE2">
        <w:rPr>
          <w:rFonts w:hint="eastAsia"/>
        </w:rPr>
        <w:t>②未利用エネルギーの実測による燃焼時の熱量が判明しない場合は、未利用エネルギーに該当しない化石燃料等の燃焼時の熱量と当該発電機の効率から未利用エネルギーに該当しない化石燃料等の燃焼に伴う発電量を算出し、当該数値を全体の発電量から除いた分を未利用エネルギーによる発電分とする。</w:t>
      </w:r>
    </w:p>
    <w:p w14:paraId="6F5A596F" w14:textId="77777777" w:rsidR="003C528A" w:rsidRPr="00180BE2" w:rsidRDefault="003C528A" w:rsidP="003C528A">
      <w:pPr>
        <w:pStyle w:val="a9"/>
        <w:spacing w:line="320" w:lineRule="exact"/>
        <w:ind w:leftChars="-129" w:left="0" w:hangingChars="129" w:hanging="284"/>
      </w:pPr>
    </w:p>
    <w:p w14:paraId="7956A4DD" w14:textId="77777777" w:rsidR="00AD7C80" w:rsidRDefault="00AD7C80" w:rsidP="00B46C3F">
      <w:pPr>
        <w:pStyle w:val="6"/>
        <w:spacing w:line="280" w:lineRule="exact"/>
        <w:ind w:left="440"/>
        <w:rPr>
          <w:rFonts w:asciiTheme="minorHAnsi" w:eastAsiaTheme="minorEastAsia" w:hAnsiTheme="minorHAnsi" w:cstheme="minorBidi"/>
          <w:color w:val="auto"/>
        </w:rPr>
      </w:pPr>
      <w:r w:rsidRPr="00AD7C80">
        <w:rPr>
          <w:rFonts w:asciiTheme="minorHAnsi" w:eastAsiaTheme="minorEastAsia" w:hAnsiTheme="minorHAnsi" w:cstheme="minorBidi" w:hint="eastAsia"/>
          <w:color w:val="auto"/>
        </w:rPr>
        <w:t>事業者全体の供給電力量に占める未利用エネルギーの活用割合を評価する。活用していれば加点することとし、</w:t>
      </w:r>
      <w:r w:rsidRPr="00AD7C80">
        <w:rPr>
          <w:rFonts w:asciiTheme="minorHAnsi" w:eastAsiaTheme="minorEastAsia" w:hAnsiTheme="minorHAnsi" w:cstheme="minorBidi"/>
          <w:color w:val="auto"/>
        </w:rPr>
        <w:t>2%を満点として5点を上限に線形評価する。</w:t>
      </w:r>
    </w:p>
    <w:p w14:paraId="6CA2115E" w14:textId="77777777" w:rsidR="00AD7C80" w:rsidRDefault="00AD7C80" w:rsidP="00B46C3F">
      <w:pPr>
        <w:pStyle w:val="6"/>
        <w:spacing w:line="280" w:lineRule="exact"/>
        <w:ind w:left="440"/>
        <w:rPr>
          <w:rFonts w:asciiTheme="minorHAnsi" w:eastAsiaTheme="minorEastAsia" w:hAnsiTheme="minorHAnsi" w:cstheme="minorBidi"/>
          <w:color w:val="auto"/>
        </w:rPr>
      </w:pPr>
    </w:p>
    <w:p w14:paraId="61C3E3E0" w14:textId="0BFFBA7D" w:rsidR="00B46C3F" w:rsidRPr="00B45A2F" w:rsidRDefault="00B46C3F" w:rsidP="00B46C3F">
      <w:pPr>
        <w:pStyle w:val="6"/>
        <w:spacing w:line="280" w:lineRule="exact"/>
        <w:ind w:left="440"/>
      </w:pPr>
      <w:r w:rsidRPr="00B45A2F">
        <w:rPr>
          <w:rFonts w:hint="eastAsia"/>
        </w:rPr>
        <w:t>【線形評価式</w:t>
      </w:r>
      <w:r>
        <w:rPr>
          <w:rFonts w:hint="eastAsia"/>
        </w:rPr>
        <w:t>及び</w:t>
      </w:r>
      <w:r w:rsidRPr="00B45A2F">
        <w:rPr>
          <w:rFonts w:hint="eastAsia"/>
        </w:rPr>
        <w:t>評価点のグラフ】</w:t>
      </w:r>
    </w:p>
    <w:p w14:paraId="3309ED3B" w14:textId="77777777" w:rsidR="00B46C3F" w:rsidRPr="00FD414E" w:rsidRDefault="00B46C3F" w:rsidP="00B46C3F">
      <w:pPr>
        <w:spacing w:beforeLines="50" w:before="180" w:line="280" w:lineRule="exact"/>
        <w:ind w:leftChars="300" w:left="660"/>
        <w:rPr>
          <w:b/>
          <w:bCs/>
          <w:i/>
          <w:sz w:val="28"/>
          <w:szCs w:val="32"/>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エ：</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5</m:t>
            </m:r>
          </m:num>
          <m:den>
            <m:r>
              <m:rPr>
                <m:sty m:val="bi"/>
              </m:rPr>
              <w:rPr>
                <w:rFonts w:ascii="Cambria Math" w:hAnsi="Cambria Math" w:hint="eastAsia"/>
                <w:sz w:val="28"/>
                <w:szCs w:val="32"/>
              </w:rPr>
              <m:t>2</m:t>
            </m:r>
          </m:den>
        </m:f>
        <m:r>
          <m:rPr>
            <m:sty m:val="bi"/>
          </m:rPr>
          <w:rPr>
            <w:rFonts w:ascii="Cambria Math" w:hAnsi="Cambria Math"/>
            <w:sz w:val="28"/>
            <w:szCs w:val="32"/>
          </w:rPr>
          <m:t>x</m:t>
        </m:r>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100,x</m:t>
        </m:r>
        <m:r>
          <m:rPr>
            <m:sty m:val="bi"/>
          </m:rPr>
          <w:rPr>
            <w:rFonts w:ascii="Cambria Math" w:hAnsi="Cambria Math"/>
            <w:sz w:val="28"/>
            <w:szCs w:val="32"/>
          </w:rPr>
          <m:t>&gt;</m:t>
        </m:r>
        <m:r>
          <m:rPr>
            <m:sty m:val="bi"/>
          </m:rPr>
          <w:rPr>
            <w:rFonts w:ascii="Cambria Math" w:hAnsi="Cambria Math" w:hint="eastAsia"/>
            <w:sz w:val="28"/>
            <w:szCs w:val="32"/>
          </w:rPr>
          <m:t>2</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5)</m:t>
        </m:r>
      </m:oMath>
    </w:p>
    <w:p w14:paraId="1EDEB6A5" w14:textId="77777777" w:rsidR="00B46C3F" w:rsidRPr="00FD48D4" w:rsidRDefault="00B46C3F" w:rsidP="00B46C3F">
      <w:pPr>
        <w:spacing w:beforeLines="50" w:before="180"/>
        <w:jc w:val="center"/>
      </w:pPr>
      <w:r w:rsidRPr="00FD414E">
        <w:rPr>
          <w:noProof/>
        </w:rPr>
        <w:lastRenderedPageBreak/>
        <w:drawing>
          <wp:inline distT="0" distB="0" distL="0" distR="0" wp14:anchorId="7A40AC7A" wp14:editId="1E25C9D8">
            <wp:extent cx="4321800" cy="3456000"/>
            <wp:effectExtent l="0" t="0" r="3175" b="0"/>
            <wp:docPr id="26682876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00" cy="3456000"/>
                    </a:xfrm>
                    <a:prstGeom prst="rect">
                      <a:avLst/>
                    </a:prstGeom>
                    <a:noFill/>
                    <a:ln>
                      <a:noFill/>
                    </a:ln>
                  </pic:spPr>
                </pic:pic>
              </a:graphicData>
            </a:graphic>
          </wp:inline>
        </w:drawing>
      </w:r>
    </w:p>
    <w:p w14:paraId="611192FC" w14:textId="1B7087CB" w:rsidR="00B46C3F" w:rsidRDefault="00B46C3F" w:rsidP="00B46C3F">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Pr>
          <w:rFonts w:hint="eastAsia"/>
        </w:rPr>
        <w:t>4</w:t>
      </w:r>
      <w:r>
        <w:rPr>
          <w:rFonts w:hint="eastAsia"/>
        </w:rPr>
        <w:t xml:space="preserve">　未利用</w:t>
      </w:r>
      <w:r w:rsidRPr="003C32F2">
        <w:rPr>
          <w:rFonts w:hint="eastAsia"/>
        </w:rPr>
        <w:t>エネルギー</w:t>
      </w:r>
      <w:r>
        <w:rPr>
          <w:rFonts w:hint="eastAsia"/>
        </w:rPr>
        <w:t>の活用状況に係る評価式及び評価図（加算点）</w:t>
      </w:r>
    </w:p>
    <w:p w14:paraId="62DDD011" w14:textId="425276CF" w:rsidR="00B46C3F" w:rsidRDefault="00B46C3F">
      <w:pPr>
        <w:widowControl/>
      </w:pPr>
      <w:r>
        <w:br w:type="page"/>
      </w:r>
    </w:p>
    <w:p w14:paraId="70A4C594" w14:textId="38C4DBDA" w:rsidR="003C528A" w:rsidRPr="008E2E52" w:rsidRDefault="00B46C3F" w:rsidP="003C528A">
      <w:pPr>
        <w:pStyle w:val="a9"/>
        <w:spacing w:line="320" w:lineRule="exact"/>
        <w:ind w:leftChars="-129" w:left="0" w:hangingChars="129" w:hanging="284"/>
        <w:rPr>
          <w:b/>
          <w:bCs/>
        </w:rPr>
      </w:pPr>
      <w:r w:rsidRPr="008E2E52">
        <w:rPr>
          <w:rFonts w:hint="eastAsia"/>
          <w:b/>
          <w:bCs/>
        </w:rPr>
        <w:lastRenderedPageBreak/>
        <w:t>オ　追加性のある再エネ電気の評価</w:t>
      </w:r>
    </w:p>
    <w:p w14:paraId="0A3567B4" w14:textId="77777777" w:rsidR="00B46C3F" w:rsidRDefault="00B46C3F" w:rsidP="003C528A">
      <w:pPr>
        <w:pStyle w:val="a9"/>
        <w:spacing w:line="320" w:lineRule="exact"/>
        <w:ind w:leftChars="-129" w:left="0" w:hangingChars="129" w:hanging="284"/>
      </w:pPr>
    </w:p>
    <w:p w14:paraId="47DE6209" w14:textId="77777777" w:rsidR="009B14E9" w:rsidRPr="009B14E9" w:rsidRDefault="009B14E9" w:rsidP="009B14E9">
      <w:pPr>
        <w:pStyle w:val="a9"/>
        <w:spacing w:line="320" w:lineRule="exact"/>
        <w:ind w:leftChars="-129" w:left="-284"/>
      </w:pPr>
      <w:r w:rsidRPr="009B14E9">
        <w:rPr>
          <w:rFonts w:hint="eastAsia"/>
        </w:rPr>
        <w:t>追加性の要件としては、RE100技術要件を参照して、運転開始日又はリパワリング日が</w:t>
      </w:r>
      <w:r w:rsidRPr="009B14E9">
        <w:t>15</w:t>
      </w:r>
      <w:r w:rsidRPr="009B14E9">
        <w:rPr>
          <w:rFonts w:hint="eastAsia"/>
        </w:rPr>
        <w:t>年以内である再生可能エネルギー電気を対象とする。</w:t>
      </w:r>
    </w:p>
    <w:p w14:paraId="2BF1E5F4" w14:textId="77777777" w:rsidR="009B14E9" w:rsidRPr="00B656D0" w:rsidRDefault="009B14E9" w:rsidP="003C528A">
      <w:pPr>
        <w:pStyle w:val="a9"/>
        <w:spacing w:line="320" w:lineRule="exact"/>
        <w:ind w:leftChars="-129" w:left="0" w:hangingChars="129" w:hanging="284"/>
      </w:pPr>
    </w:p>
    <w:p w14:paraId="497088EB" w14:textId="7D444CEB" w:rsidR="009B14E9" w:rsidRDefault="00765908" w:rsidP="00765908">
      <w:pPr>
        <w:pStyle w:val="a9"/>
        <w:spacing w:line="320" w:lineRule="exact"/>
        <w:ind w:leftChars="-129" w:left="-284"/>
      </w:pPr>
      <w:r w:rsidRPr="00B656D0">
        <w:rPr>
          <w:rFonts w:hint="eastAsia"/>
        </w:rPr>
        <w:t>調達電力に対して追加性のある再生可能エネルギー電気を</w:t>
      </w:r>
      <w:r w:rsidRPr="00B656D0">
        <w:t>35%</w:t>
      </w:r>
      <w:r w:rsidRPr="00B656D0">
        <w:rPr>
          <w:rFonts w:hint="eastAsia"/>
        </w:rPr>
        <w:t>以上供給していれば加点することとし、</w:t>
      </w:r>
      <w:r w:rsidRPr="00B656D0">
        <w:rPr>
          <w:rFonts w:hint="eastAsia"/>
          <w:bCs/>
        </w:rPr>
        <w:t>100</w:t>
      </w:r>
      <w:r w:rsidRPr="00B656D0">
        <w:rPr>
          <w:bCs/>
        </w:rPr>
        <w:t>%</w:t>
      </w:r>
      <w:r w:rsidRPr="00B656D0">
        <w:rPr>
          <w:rFonts w:hint="eastAsia"/>
          <w:bCs/>
        </w:rPr>
        <w:t>を満点として5点を上限に</w:t>
      </w:r>
      <w:r w:rsidRPr="00B656D0">
        <w:rPr>
          <w:rFonts w:hint="eastAsia"/>
        </w:rPr>
        <w:t>線形評価</w:t>
      </w:r>
      <w:r w:rsidRPr="00765908">
        <w:rPr>
          <w:rFonts w:hint="eastAsia"/>
        </w:rPr>
        <w:t>する。</w:t>
      </w:r>
    </w:p>
    <w:p w14:paraId="3C2417D4" w14:textId="77777777" w:rsidR="00765908" w:rsidRDefault="00765908" w:rsidP="00765908">
      <w:pPr>
        <w:pStyle w:val="a9"/>
        <w:spacing w:line="320" w:lineRule="exact"/>
        <w:ind w:leftChars="-129" w:left="-284"/>
      </w:pPr>
    </w:p>
    <w:p w14:paraId="3960A7AD" w14:textId="77777777" w:rsidR="00216D26" w:rsidRPr="00B45A2F" w:rsidRDefault="00216D26" w:rsidP="00216D26">
      <w:pPr>
        <w:pStyle w:val="6"/>
        <w:spacing w:line="240" w:lineRule="exact"/>
        <w:ind w:left="440"/>
      </w:pPr>
      <w:r w:rsidRPr="00B45A2F">
        <w:rPr>
          <w:rFonts w:hint="eastAsia"/>
        </w:rPr>
        <w:t>【線形評価式</w:t>
      </w:r>
      <w:r>
        <w:rPr>
          <w:rFonts w:hint="eastAsia"/>
        </w:rPr>
        <w:t>及び</w:t>
      </w:r>
      <w:r w:rsidRPr="00B45A2F">
        <w:rPr>
          <w:rFonts w:hint="eastAsia"/>
        </w:rPr>
        <w:t>評価点のグラフ】</w:t>
      </w:r>
    </w:p>
    <w:p w14:paraId="4C0D743C" w14:textId="77777777" w:rsidR="00216D26" w:rsidRDefault="00216D26" w:rsidP="00216D26">
      <w:pPr>
        <w:spacing w:beforeLines="50" w:before="180" w:line="240" w:lineRule="exact"/>
        <w:ind w:leftChars="300" w:left="660"/>
        <w:rPr>
          <w:rFonts w:eastAsia="HG丸ｺﾞｼｯｸM-PRO"/>
          <w:b/>
          <w:sz w:val="28"/>
          <w:szCs w:val="32"/>
        </w:rPr>
      </w:pPr>
      <w:r w:rsidRPr="00111B47">
        <w:rPr>
          <w:rFonts w:ascii="Verdana" w:eastAsia="ＭＳ ゴシック" w:hAnsi="Verdana" w:hint="eastAsia"/>
          <w:b/>
          <w:sz w:val="24"/>
          <w:szCs w:val="28"/>
        </w:rPr>
        <w:t>加算点</w:t>
      </w:r>
      <w:r>
        <w:rPr>
          <w:rFonts w:ascii="Verdana" w:eastAsia="ＭＳ ゴシック" w:hAnsi="Verdana" w:hint="eastAsia"/>
          <w:b/>
          <w:sz w:val="24"/>
          <w:szCs w:val="28"/>
        </w:rPr>
        <w:t>オ：</w:t>
      </w:r>
      <w:r>
        <w:rPr>
          <w:rFonts w:eastAsia="HG丸ｺﾞｼｯｸM-PRO" w:hint="eastAsia"/>
          <w:b/>
          <w:sz w:val="24"/>
          <w:szCs w:val="28"/>
        </w:rPr>
        <w:t xml:space="preserve">　</w:t>
      </w:r>
      <m:oMath>
        <m:r>
          <m:rPr>
            <m:sty m:val="bi"/>
          </m:rPr>
          <w:rPr>
            <w:rFonts w:ascii="Cambria Math" w:hAnsi="Cambria Math"/>
            <w:sz w:val="28"/>
            <w:szCs w:val="32"/>
          </w:rPr>
          <m:t>y</m:t>
        </m:r>
        <m:r>
          <m:rPr>
            <m:sty m:val="bi"/>
          </m:rPr>
          <w:rPr>
            <w:rFonts w:ascii="Cambria Math" w:hAnsi="Cambria Math" w:hint="eastAsia"/>
            <w:sz w:val="28"/>
            <w:szCs w:val="32"/>
          </w:rPr>
          <m:t>=</m:t>
        </m:r>
        <m:f>
          <m:fPr>
            <m:ctrlPr>
              <w:rPr>
                <w:rFonts w:ascii="Cambria Math" w:hAnsi="Cambria Math"/>
                <w:b/>
                <w:bCs/>
                <w:i/>
                <w:sz w:val="28"/>
                <w:szCs w:val="32"/>
              </w:rPr>
            </m:ctrlPr>
          </m:fPr>
          <m:num>
            <m:r>
              <m:rPr>
                <m:sty m:val="bi"/>
              </m:rPr>
              <w:rPr>
                <w:rFonts w:ascii="Cambria Math" w:hAnsi="Cambria Math" w:hint="eastAsia"/>
                <w:sz w:val="28"/>
                <w:szCs w:val="32"/>
              </w:rPr>
              <m:t>1</m:t>
            </m:r>
          </m:num>
          <m:den>
            <m:r>
              <m:rPr>
                <m:sty m:val="bi"/>
              </m:rPr>
              <w:rPr>
                <w:rFonts w:ascii="Cambria Math" w:hAnsi="Cambria Math" w:hint="eastAsia"/>
                <w:sz w:val="28"/>
                <w:szCs w:val="32"/>
              </w:rPr>
              <m:t>13</m:t>
            </m:r>
          </m:den>
        </m:f>
        <m:r>
          <m:rPr>
            <m:sty m:val="bi"/>
          </m:rPr>
          <w:rPr>
            <w:rFonts w:ascii="Cambria Math" w:hAnsi="Cambria Math"/>
            <w:sz w:val="28"/>
            <w:szCs w:val="32"/>
          </w:rPr>
          <m:t>x-</m:t>
        </m:r>
        <m:f>
          <m:fPr>
            <m:ctrlPr>
              <w:rPr>
                <w:rFonts w:ascii="Cambria Math" w:hAnsi="Cambria Math"/>
                <w:b/>
                <w:bCs/>
                <w:i/>
                <w:sz w:val="28"/>
                <w:szCs w:val="32"/>
              </w:rPr>
            </m:ctrlPr>
          </m:fPr>
          <m:num>
            <m:r>
              <m:rPr>
                <m:sty m:val="bi"/>
              </m:rPr>
              <w:rPr>
                <w:rFonts w:ascii="Cambria Math" w:hAnsi="Cambria Math" w:hint="eastAsia"/>
                <w:sz w:val="28"/>
                <w:szCs w:val="32"/>
              </w:rPr>
              <m:t>35</m:t>
            </m:r>
          </m:num>
          <m:den>
            <m:r>
              <m:rPr>
                <m:sty m:val="bi"/>
              </m:rPr>
              <w:rPr>
                <w:rFonts w:ascii="Cambria Math" w:hAnsi="Cambria Math" w:hint="eastAsia"/>
                <w:sz w:val="28"/>
                <w:szCs w:val="32"/>
              </w:rPr>
              <m:t>13</m:t>
            </m:r>
          </m:den>
        </m:f>
        <m:r>
          <m:rPr>
            <m:sty m:val="bi"/>
          </m:rPr>
          <w:rPr>
            <w:rFonts w:ascii="Cambria Math" w:hAnsi="Cambria Math" w:hint="eastAsia"/>
            <w:sz w:val="28"/>
            <w:szCs w:val="32"/>
          </w:rPr>
          <m:t xml:space="preserve">　</m:t>
        </m:r>
        <m:r>
          <m:rPr>
            <m:sty m:val="bi"/>
          </m:rPr>
          <w:rPr>
            <w:rFonts w:ascii="Cambria Math" w:hAnsi="Cambria Math" w:hint="eastAsia"/>
            <w:sz w:val="28"/>
            <w:szCs w:val="32"/>
          </w:rPr>
          <m:t>(0</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≤1</m:t>
        </m:r>
        <m:r>
          <m:rPr>
            <m:sty m:val="bi"/>
          </m:rPr>
          <w:rPr>
            <w:rFonts w:ascii="Cambria Math" w:hAnsi="Cambria Math" w:hint="eastAsia"/>
            <w:sz w:val="28"/>
            <w:szCs w:val="32"/>
          </w:rPr>
          <m:t>00,x</m:t>
        </m:r>
        <m:r>
          <m:rPr>
            <m:sty m:val="bi"/>
          </m:rPr>
          <w:rPr>
            <w:rFonts w:ascii="Cambria Math" w:hAnsi="Cambria Math"/>
            <w:sz w:val="28"/>
            <w:szCs w:val="32"/>
          </w:rPr>
          <m:t>&lt;</m:t>
        </m:r>
        <m:r>
          <m:rPr>
            <m:sty m:val="bi"/>
          </m:rPr>
          <w:rPr>
            <w:rFonts w:ascii="Cambria Math" w:hAnsi="Cambria Math" w:hint="eastAsia"/>
            <w:sz w:val="28"/>
            <w:szCs w:val="32"/>
          </w:rPr>
          <m:t>35</m:t>
        </m:r>
        <m:r>
          <m:rPr>
            <m:sty m:val="bi"/>
          </m:rPr>
          <w:rPr>
            <w:rFonts w:ascii="Cambria Math" w:hAnsi="Cambria Math"/>
            <w:sz w:val="28"/>
            <w:szCs w:val="32"/>
          </w:rPr>
          <m:t>→</m:t>
        </m:r>
        <m:r>
          <m:rPr>
            <m:sty m:val="bi"/>
          </m:rPr>
          <w:rPr>
            <w:rFonts w:ascii="Cambria Math" w:hAnsi="Cambria Math" w:hint="eastAsia"/>
            <w:sz w:val="28"/>
            <w:szCs w:val="32"/>
          </w:rPr>
          <m:t>x</m:t>
        </m:r>
        <m:r>
          <m:rPr>
            <m:sty m:val="bi"/>
          </m:rPr>
          <w:rPr>
            <w:rFonts w:ascii="Cambria Math" w:hAnsi="Cambria Math"/>
            <w:sz w:val="28"/>
            <w:szCs w:val="32"/>
          </w:rPr>
          <m:t>=</m:t>
        </m:r>
        <m:r>
          <m:rPr>
            <m:sty m:val="bi"/>
          </m:rPr>
          <w:rPr>
            <w:rFonts w:ascii="Cambria Math" w:hAnsi="Cambria Math" w:hint="eastAsia"/>
            <w:sz w:val="28"/>
            <w:szCs w:val="32"/>
          </w:rPr>
          <m:t>0)</m:t>
        </m:r>
      </m:oMath>
    </w:p>
    <w:p w14:paraId="5161A8BB" w14:textId="77777777" w:rsidR="00501B39" w:rsidRPr="00FD414E" w:rsidRDefault="00501B39" w:rsidP="00216D26">
      <w:pPr>
        <w:spacing w:beforeLines="50" w:before="180" w:line="240" w:lineRule="exact"/>
        <w:ind w:leftChars="300" w:left="660"/>
        <w:rPr>
          <w:b/>
          <w:bCs/>
          <w:i/>
          <w:sz w:val="28"/>
          <w:szCs w:val="32"/>
        </w:rPr>
      </w:pPr>
    </w:p>
    <w:p w14:paraId="3B30FA36" w14:textId="77777777" w:rsidR="00216D26" w:rsidRPr="00FD48D4" w:rsidRDefault="00216D26" w:rsidP="00216D26">
      <w:pPr>
        <w:spacing w:beforeLines="50" w:before="180"/>
        <w:jc w:val="center"/>
      </w:pPr>
      <w:r w:rsidRPr="00A30F71">
        <w:rPr>
          <w:noProof/>
        </w:rPr>
        <w:drawing>
          <wp:inline distT="0" distB="0" distL="0" distR="0" wp14:anchorId="37749AEF" wp14:editId="0F6889EF">
            <wp:extent cx="4321800" cy="3456000"/>
            <wp:effectExtent l="0" t="0" r="3175" b="0"/>
            <wp:docPr id="189456731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1800" cy="3456000"/>
                    </a:xfrm>
                    <a:prstGeom prst="rect">
                      <a:avLst/>
                    </a:prstGeom>
                    <a:noFill/>
                    <a:ln>
                      <a:noFill/>
                    </a:ln>
                  </pic:spPr>
                </pic:pic>
              </a:graphicData>
            </a:graphic>
          </wp:inline>
        </w:drawing>
      </w:r>
    </w:p>
    <w:p w14:paraId="60FBD058" w14:textId="666CEF96" w:rsidR="00216D26" w:rsidRDefault="00216D26" w:rsidP="00216D26">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008C1031">
        <w:rPr>
          <w:rFonts w:hint="eastAsia"/>
        </w:rPr>
        <w:t>5</w:t>
      </w:r>
      <w:r>
        <w:rPr>
          <w:rFonts w:hint="eastAsia"/>
        </w:rPr>
        <w:t xml:space="preserve">　追加性のある再生可能エネルギー電気に係る評価式及び評価図（加算点）</w:t>
      </w:r>
    </w:p>
    <w:p w14:paraId="21198D5F" w14:textId="2A92F303" w:rsidR="00501B39" w:rsidRDefault="00501B39">
      <w:pPr>
        <w:widowControl/>
      </w:pPr>
      <w:r>
        <w:br w:type="page"/>
      </w:r>
    </w:p>
    <w:p w14:paraId="62819533" w14:textId="26FCA0B6" w:rsidR="00765908" w:rsidRPr="008E2E52" w:rsidRDefault="00501B39" w:rsidP="00765908">
      <w:pPr>
        <w:pStyle w:val="a9"/>
        <w:spacing w:line="320" w:lineRule="exact"/>
        <w:ind w:leftChars="-129" w:left="-284"/>
        <w:rPr>
          <w:b/>
          <w:bCs/>
        </w:rPr>
      </w:pPr>
      <w:r w:rsidRPr="008E2E52">
        <w:rPr>
          <w:rFonts w:hint="eastAsia"/>
          <w:b/>
          <w:bCs/>
        </w:rPr>
        <w:lastRenderedPageBreak/>
        <w:t>カ　指定地域における持続的な再エネ電気の創出・利用に向けた取組</w:t>
      </w:r>
    </w:p>
    <w:p w14:paraId="2BDEB6D5" w14:textId="36981706" w:rsidR="00A475C1" w:rsidRDefault="00A475C1" w:rsidP="004E5B2A">
      <w:pPr>
        <w:pStyle w:val="a9"/>
        <w:numPr>
          <w:ilvl w:val="0"/>
          <w:numId w:val="4"/>
        </w:numPr>
        <w:spacing w:line="320" w:lineRule="exact"/>
      </w:pPr>
      <w:r>
        <w:rPr>
          <w:rFonts w:hint="eastAsia"/>
        </w:rPr>
        <w:t>指定地域にお</w:t>
      </w:r>
      <w:r w:rsidR="004E5B2A">
        <w:rPr>
          <w:rFonts w:hint="eastAsia"/>
        </w:rPr>
        <w:t>いて発電された電力を供給していること　を選択する場合</w:t>
      </w:r>
      <w:r>
        <w:rPr>
          <w:rFonts w:hint="eastAsia"/>
        </w:rPr>
        <w:t>）</w:t>
      </w:r>
    </w:p>
    <w:p w14:paraId="49DA3603" w14:textId="3DF1A4D4" w:rsidR="004E5B2A" w:rsidRDefault="004E5B2A" w:rsidP="004E5B2A">
      <w:pPr>
        <w:spacing w:line="320" w:lineRule="exact"/>
        <w:ind w:left="-284"/>
      </w:pPr>
      <w:r>
        <w:rPr>
          <w:rFonts w:hint="eastAsia"/>
        </w:rPr>
        <w:t xml:space="preserve">　</w:t>
      </w:r>
      <w:r w:rsidR="005C6647" w:rsidRPr="005C6647">
        <w:rPr>
          <w:rFonts w:hint="eastAsia"/>
          <w:i/>
          <w:iCs/>
          <w:highlight w:val="lightGray"/>
        </w:rPr>
        <w:t>●●市（</w:t>
      </w:r>
      <w:r w:rsidRPr="004E5B2A">
        <w:rPr>
          <w:rFonts w:hint="eastAsia"/>
          <w:i/>
          <w:iCs/>
          <w:highlight w:val="lightGray"/>
        </w:rPr>
        <w:t>施設所在地域</w:t>
      </w:r>
      <w:r w:rsidR="005C6647">
        <w:rPr>
          <w:rFonts w:hint="eastAsia"/>
          <w:i/>
          <w:iCs/>
          <w:highlight w:val="lightGray"/>
        </w:rPr>
        <w:t>）</w:t>
      </w:r>
      <w:r w:rsidR="006107BD">
        <w:rPr>
          <w:rFonts w:hint="eastAsia"/>
        </w:rPr>
        <w:t>に所在する発電施設で発電もしくは発行された電力・証書を供給する場合に</w:t>
      </w:r>
      <w:r w:rsidR="00930B04">
        <w:rPr>
          <w:rFonts w:hint="eastAsia"/>
        </w:rPr>
        <w:t>配点の満点を与える</w:t>
      </w:r>
      <w:r w:rsidR="006107BD">
        <w:rPr>
          <w:rFonts w:hint="eastAsia"/>
        </w:rPr>
        <w:t>。</w:t>
      </w:r>
      <w:r w:rsidR="00B05FC6">
        <w:rPr>
          <w:rFonts w:hint="eastAsia"/>
        </w:rPr>
        <w:t>入札説明書別添</w:t>
      </w:r>
      <w:r w:rsidR="00272D2D">
        <w:rPr>
          <w:rFonts w:hint="eastAsia"/>
        </w:rPr>
        <w:t>３別紙２の適合証明書</w:t>
      </w:r>
      <w:r w:rsidR="00B05FC6">
        <w:rPr>
          <w:rFonts w:hint="eastAsia"/>
        </w:rPr>
        <w:t>により</w:t>
      </w:r>
      <w:r w:rsidR="00272D2D">
        <w:rPr>
          <w:rFonts w:hint="eastAsia"/>
        </w:rPr>
        <w:t>、</w:t>
      </w:r>
      <w:r w:rsidR="00A35450">
        <w:rPr>
          <w:rFonts w:hint="eastAsia"/>
        </w:rPr>
        <w:t>入札時に</w:t>
      </w:r>
      <w:r w:rsidR="00590CC1">
        <w:rPr>
          <w:rFonts w:hint="eastAsia"/>
        </w:rPr>
        <w:t>該当する電力</w:t>
      </w:r>
      <w:r w:rsidR="006C3C5B">
        <w:rPr>
          <w:rFonts w:hint="eastAsia"/>
        </w:rPr>
        <w:t>もしくは</w:t>
      </w:r>
      <w:r w:rsidR="002D1C70">
        <w:rPr>
          <w:rFonts w:hint="eastAsia"/>
        </w:rPr>
        <w:t>証書の発電施設情報を提出すること。</w:t>
      </w:r>
      <w:r w:rsidR="00A35450">
        <w:rPr>
          <w:rFonts w:hint="eastAsia"/>
        </w:rPr>
        <w:t>また契約満了時に</w:t>
      </w:r>
      <w:r w:rsidR="005C6647">
        <w:rPr>
          <w:rFonts w:hint="eastAsia"/>
        </w:rPr>
        <w:t>証書及びそのトラッキング情報を実績として報告すること。</w:t>
      </w:r>
    </w:p>
    <w:p w14:paraId="44E64EA4" w14:textId="77777777" w:rsidR="00A475C1" w:rsidRPr="00272D2D" w:rsidRDefault="00A475C1" w:rsidP="00EC6D3E">
      <w:pPr>
        <w:pStyle w:val="a9"/>
        <w:spacing w:line="320" w:lineRule="exact"/>
        <w:ind w:leftChars="-129" w:left="-284"/>
      </w:pPr>
    </w:p>
    <w:p w14:paraId="2329BE06" w14:textId="04F33A4F" w:rsidR="00EC6D3E" w:rsidRDefault="00A475C1" w:rsidP="00EC6D3E">
      <w:pPr>
        <w:pStyle w:val="a9"/>
        <w:spacing w:line="320" w:lineRule="exact"/>
        <w:ind w:leftChars="-129" w:left="-284"/>
      </w:pPr>
      <w:r>
        <w:rPr>
          <w:rFonts w:hint="eastAsia"/>
        </w:rPr>
        <w:t>（２．</w:t>
      </w:r>
      <w:r w:rsidR="00EC6D3E">
        <w:t>「地域脱炭素化促進事業制度」において誘致された地域に役立つ再エネ事業で発電された電力を供給していること</w:t>
      </w:r>
      <w:r w:rsidR="00477D71">
        <w:rPr>
          <w:rFonts w:hint="eastAsia"/>
        </w:rPr>
        <w:t xml:space="preserve">　を選択する場合）</w:t>
      </w:r>
    </w:p>
    <w:p w14:paraId="6972E8A1" w14:textId="4FF979BF" w:rsidR="00477D71" w:rsidRPr="00930B04" w:rsidRDefault="000C64BC" w:rsidP="00930B04">
      <w:pPr>
        <w:spacing w:line="320" w:lineRule="exact"/>
        <w:ind w:left="-284"/>
      </w:pPr>
      <w:r>
        <w:rPr>
          <w:rFonts w:hint="eastAsia"/>
        </w:rPr>
        <w:t>地域脱炭素化促進事業制度</w:t>
      </w:r>
      <w:r w:rsidR="00691D05">
        <w:rPr>
          <w:rFonts w:hint="eastAsia"/>
        </w:rPr>
        <w:t>で認定された電力を</w:t>
      </w:r>
      <w:r w:rsidR="003026C6">
        <w:rPr>
          <w:rFonts w:hint="eastAsia"/>
        </w:rPr>
        <w:t>供給していれば</w:t>
      </w:r>
      <w:r w:rsidR="004C05EA">
        <w:rPr>
          <w:rFonts w:hint="eastAsia"/>
        </w:rPr>
        <w:t>配点の満点を与える。</w:t>
      </w:r>
      <w:r w:rsidR="00930B04">
        <w:rPr>
          <w:rFonts w:hint="eastAsia"/>
        </w:rPr>
        <w:t>入札説明書別添３別紙２の適合証明書により、入札時に該当する電力</w:t>
      </w:r>
      <w:r w:rsidR="006C3C5B">
        <w:rPr>
          <w:rFonts w:hint="eastAsia"/>
        </w:rPr>
        <w:t>及び</w:t>
      </w:r>
      <w:r w:rsidR="00930B04">
        <w:rPr>
          <w:rFonts w:hint="eastAsia"/>
        </w:rPr>
        <w:t>証書の発電施設情報を提出すること。また契約満了時に証書及びそのトラッキング情報を実績として報告すること。</w:t>
      </w:r>
    </w:p>
    <w:p w14:paraId="0CEF9C02" w14:textId="46D59796" w:rsidR="004C05EA" w:rsidRPr="004C05EA" w:rsidRDefault="004C05EA" w:rsidP="00EC6D3E">
      <w:pPr>
        <w:pStyle w:val="a9"/>
        <w:spacing w:line="320" w:lineRule="exact"/>
        <w:ind w:leftChars="-129" w:left="-284"/>
      </w:pPr>
    </w:p>
    <w:p w14:paraId="136BB623" w14:textId="05550C19" w:rsidR="00EC6D3E" w:rsidRDefault="002F3AE1" w:rsidP="00EC6D3E">
      <w:pPr>
        <w:pStyle w:val="a9"/>
        <w:spacing w:line="320" w:lineRule="exact"/>
        <w:ind w:leftChars="-129" w:left="-284"/>
      </w:pPr>
      <w:r>
        <w:rPr>
          <w:rFonts w:hint="eastAsia"/>
        </w:rPr>
        <w:t>（</w:t>
      </w:r>
      <w:r w:rsidR="00A475C1">
        <w:rPr>
          <w:rFonts w:hint="eastAsia"/>
        </w:rPr>
        <w:t>３</w:t>
      </w:r>
      <w:r>
        <w:rPr>
          <w:rFonts w:hint="eastAsia"/>
        </w:rPr>
        <w:t>．</w:t>
      </w:r>
      <w:r w:rsidR="00EC6D3E">
        <w:t>指定地域における卒FIT</w:t>
      </w:r>
      <w:r w:rsidR="00577530">
        <w:rPr>
          <w:rFonts w:hint="eastAsia"/>
        </w:rPr>
        <w:t>電気</w:t>
      </w:r>
      <w:r w:rsidR="00EC6D3E">
        <w:t>の買取を行っていること</w:t>
      </w:r>
      <w:r>
        <w:rPr>
          <w:rFonts w:hint="eastAsia"/>
        </w:rPr>
        <w:t xml:space="preserve">　を選択する場合）</w:t>
      </w:r>
    </w:p>
    <w:p w14:paraId="143F51FA" w14:textId="77777777" w:rsidR="005E3E92" w:rsidRDefault="005E3E92" w:rsidP="0046145A">
      <w:pPr>
        <w:pStyle w:val="a9"/>
        <w:spacing w:line="320" w:lineRule="exact"/>
        <w:ind w:leftChars="-64" w:left="-141" w:firstLineChars="64" w:firstLine="141"/>
        <w:rPr>
          <w:i/>
          <w:iCs/>
        </w:rPr>
      </w:pPr>
      <w:r w:rsidRPr="005C7ACA">
        <w:rPr>
          <w:rFonts w:hint="eastAsia"/>
          <w:i/>
          <w:iCs/>
        </w:rPr>
        <w:t>以下どちらかを選択して記載。</w:t>
      </w:r>
    </w:p>
    <w:p w14:paraId="3FB0A3C7" w14:textId="77777777" w:rsidR="0073006B" w:rsidRDefault="0073006B" w:rsidP="0046145A">
      <w:pPr>
        <w:pStyle w:val="a9"/>
        <w:spacing w:line="320" w:lineRule="exact"/>
        <w:ind w:leftChars="-64" w:left="-141" w:firstLineChars="64" w:firstLine="141"/>
      </w:pPr>
    </w:p>
    <w:p w14:paraId="1F70A6A1" w14:textId="52A5DA32" w:rsidR="005C7ACA" w:rsidRDefault="0073006B" w:rsidP="0046145A">
      <w:pPr>
        <w:pStyle w:val="a9"/>
        <w:spacing w:line="320" w:lineRule="exact"/>
        <w:ind w:leftChars="-64" w:left="-141" w:firstLineChars="64" w:firstLine="141"/>
      </w:pPr>
      <w:r>
        <w:rPr>
          <w:rFonts w:hint="eastAsia"/>
        </w:rPr>
        <w:t>①</w:t>
      </w:r>
      <w:r w:rsidR="005C7ACA">
        <w:rPr>
          <w:rFonts w:hint="eastAsia"/>
        </w:rPr>
        <w:t>供給される電気に占める●●市産卒FIT電気の割合に応じて０～５点を付与する。</w:t>
      </w:r>
    </w:p>
    <w:p w14:paraId="63023A41" w14:textId="6B1FD47E" w:rsidR="005C7ACA" w:rsidRPr="005C7ACA" w:rsidRDefault="005C7ACA" w:rsidP="0046145A">
      <w:pPr>
        <w:pStyle w:val="a9"/>
        <w:spacing w:line="320" w:lineRule="exact"/>
        <w:ind w:leftChars="-64" w:left="-141" w:firstLineChars="64" w:firstLine="141"/>
      </w:pPr>
      <w:r>
        <w:rPr>
          <w:rFonts w:hint="eastAsia"/>
        </w:rPr>
        <w:t>０～４％：1点、５～９％：２点、10～19％</w:t>
      </w:r>
      <w:r w:rsidR="0073006B">
        <w:rPr>
          <w:rFonts w:hint="eastAsia"/>
        </w:rPr>
        <w:t>：3点、20～29％：4点、30%以上：5点</w:t>
      </w:r>
    </w:p>
    <w:p w14:paraId="67BFA751" w14:textId="77777777" w:rsidR="0073006B" w:rsidRDefault="0073006B" w:rsidP="0046145A">
      <w:pPr>
        <w:pStyle w:val="a9"/>
        <w:spacing w:line="320" w:lineRule="exact"/>
        <w:ind w:leftChars="-64" w:left="-141" w:firstLineChars="64" w:firstLine="141"/>
      </w:pPr>
    </w:p>
    <w:p w14:paraId="4D8E6A69" w14:textId="06ABC1EB" w:rsidR="004C05EA" w:rsidRDefault="0073006B" w:rsidP="0046145A">
      <w:pPr>
        <w:pStyle w:val="a9"/>
        <w:spacing w:line="320" w:lineRule="exact"/>
        <w:ind w:leftChars="-64" w:left="-141" w:firstLineChars="64" w:firstLine="141"/>
      </w:pPr>
      <w:r w:rsidRPr="006B4789">
        <w:rPr>
          <w:noProof/>
        </w:rPr>
        <w:drawing>
          <wp:anchor distT="0" distB="0" distL="114300" distR="114300" simplePos="0" relativeHeight="251659267" behindDoc="0" locked="0" layoutInCell="1" allowOverlap="1" wp14:anchorId="1D00594B" wp14:editId="1E74AD2E">
            <wp:simplePos x="0" y="0"/>
            <wp:positionH relativeFrom="margin">
              <wp:posOffset>621665</wp:posOffset>
            </wp:positionH>
            <wp:positionV relativeFrom="paragraph">
              <wp:posOffset>561975</wp:posOffset>
            </wp:positionV>
            <wp:extent cx="3879850" cy="3104515"/>
            <wp:effectExtent l="0" t="0" r="6350" b="635"/>
            <wp:wrapTopAndBottom/>
            <wp:docPr id="3" name="図 2" descr="グラフ, 折れ線グラフ&#10;&#10;AI 生成コンテンツは誤りを含む可能性があります。">
              <a:extLst xmlns:a="http://schemas.openxmlformats.org/drawingml/2006/main">
                <a:ext uri="{FF2B5EF4-FFF2-40B4-BE49-F238E27FC236}">
                  <a16:creationId xmlns:a16="http://schemas.microsoft.com/office/drawing/2014/main" id="{4CF3A2F7-F5C1-877C-B174-7731F7F80C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descr="グラフ, 折れ線グラフ&#10;&#10;AI 生成コンテンツは誤りを含む可能性があります。">
                      <a:extLst>
                        <a:ext uri="{FF2B5EF4-FFF2-40B4-BE49-F238E27FC236}">
                          <a16:creationId xmlns:a16="http://schemas.microsoft.com/office/drawing/2014/main" id="{4CF3A2F7-F5C1-877C-B174-7731F7F80CE4}"/>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879850" cy="3104515"/>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②</w:t>
      </w:r>
      <w:r w:rsidR="00223E23">
        <w:rPr>
          <w:rFonts w:hint="eastAsia"/>
        </w:rPr>
        <w:t>卒FIT</w:t>
      </w:r>
      <w:r w:rsidR="00577530">
        <w:rPr>
          <w:rFonts w:hint="eastAsia"/>
        </w:rPr>
        <w:t>電気</w:t>
      </w:r>
      <w:r w:rsidR="002C12ED">
        <w:rPr>
          <w:rFonts w:hint="eastAsia"/>
        </w:rPr>
        <w:t>を７円以上の買取価格で買い取っていれば加点することとし、</w:t>
      </w:r>
      <w:r w:rsidR="009237EE">
        <w:rPr>
          <w:rFonts w:hint="eastAsia"/>
        </w:rPr>
        <w:t>1</w:t>
      </w:r>
      <w:r w:rsidR="008E41ED">
        <w:rPr>
          <w:rFonts w:hint="eastAsia"/>
        </w:rPr>
        <w:t>2</w:t>
      </w:r>
      <w:r w:rsidR="009237EE">
        <w:rPr>
          <w:rFonts w:hint="eastAsia"/>
        </w:rPr>
        <w:t>円を満点として線形評価する。</w:t>
      </w:r>
    </w:p>
    <w:p w14:paraId="2E70E11A" w14:textId="4973CE43" w:rsidR="002934EF" w:rsidRDefault="00DE7E7E" w:rsidP="007634E4">
      <w:pPr>
        <w:pStyle w:val="af6"/>
        <w:ind w:leftChars="-200" w:left="-440" w:rightChars="-200" w:right="-440"/>
      </w:pPr>
      <w:r w:rsidRPr="00327E99">
        <w:rPr>
          <w:rFonts w:hint="eastAsia"/>
        </w:rPr>
        <w:t>図</w:t>
      </w:r>
      <w:r w:rsidRPr="00327E99">
        <w:rPr>
          <w:rFonts w:ascii="ＭＳ Ｐゴシック" w:eastAsia="ＭＳ Ｐゴシック" w:hAnsi="ＭＳ Ｐゴシック" w:hint="eastAsia"/>
        </w:rPr>
        <w:t>Ⅱ</w:t>
      </w:r>
      <w:r w:rsidRPr="00327E99">
        <w:rPr>
          <w:rFonts w:hint="eastAsia"/>
        </w:rPr>
        <w:t>－</w:t>
      </w:r>
      <w:r w:rsidRPr="00327E99">
        <w:t>2</w:t>
      </w:r>
      <w:r w:rsidRPr="00327E99">
        <w:rPr>
          <w:rFonts w:hint="eastAsia"/>
        </w:rPr>
        <w:t>.1</w:t>
      </w:r>
      <w:r w:rsidRPr="00327E99">
        <w:rPr>
          <w:rFonts w:hint="eastAsia"/>
        </w:rPr>
        <w:t>－</w:t>
      </w:r>
      <w:r w:rsidRPr="00327E99">
        <w:rPr>
          <w:rFonts w:hint="eastAsia"/>
        </w:rPr>
        <w:t>8</w:t>
      </w:r>
      <w:r>
        <w:rPr>
          <w:rFonts w:hint="eastAsia"/>
        </w:rPr>
        <w:t xml:space="preserve">　卒</w:t>
      </w:r>
      <w:r>
        <w:rPr>
          <w:rFonts w:hint="eastAsia"/>
        </w:rPr>
        <w:t>FIT</w:t>
      </w:r>
      <w:r w:rsidR="00577530">
        <w:rPr>
          <w:rFonts w:hint="eastAsia"/>
        </w:rPr>
        <w:t>電気</w:t>
      </w:r>
      <w:r>
        <w:rPr>
          <w:rFonts w:hint="eastAsia"/>
        </w:rPr>
        <w:t>の買取価格に係る評価式及び評価図（加算点）</w:t>
      </w:r>
    </w:p>
    <w:p w14:paraId="50D87E6A" w14:textId="77777777" w:rsidR="007634E4" w:rsidRDefault="007634E4" w:rsidP="00EC6D3E">
      <w:pPr>
        <w:pStyle w:val="a9"/>
        <w:spacing w:line="320" w:lineRule="exact"/>
        <w:ind w:leftChars="-129" w:left="-284"/>
      </w:pPr>
    </w:p>
    <w:p w14:paraId="26371AE8" w14:textId="1571FBE0" w:rsidR="00EC6D3E" w:rsidRDefault="002F3AE1" w:rsidP="00EC6D3E">
      <w:pPr>
        <w:pStyle w:val="a9"/>
        <w:spacing w:line="320" w:lineRule="exact"/>
        <w:ind w:leftChars="-129" w:left="-284"/>
      </w:pPr>
      <w:r>
        <w:rPr>
          <w:rFonts w:hint="eastAsia"/>
        </w:rPr>
        <w:t>（</w:t>
      </w:r>
      <w:r w:rsidR="00A475C1">
        <w:rPr>
          <w:rFonts w:hint="eastAsia"/>
        </w:rPr>
        <w:t>４</w:t>
      </w:r>
      <w:r>
        <w:rPr>
          <w:rFonts w:hint="eastAsia"/>
        </w:rPr>
        <w:t>．</w:t>
      </w:r>
      <w:r w:rsidR="00EC6D3E">
        <w:t>再エネに関する連携協定先の電力を供給していること</w:t>
      </w:r>
      <w:r>
        <w:rPr>
          <w:rFonts w:hint="eastAsia"/>
        </w:rPr>
        <w:t xml:space="preserve">　を選択する場合）</w:t>
      </w:r>
    </w:p>
    <w:p w14:paraId="479FFDCD" w14:textId="1A2EC6F2" w:rsidR="004A74DC" w:rsidRPr="000F711E" w:rsidRDefault="000F711E" w:rsidP="006C3C5B">
      <w:pPr>
        <w:spacing w:line="320" w:lineRule="exact"/>
        <w:ind w:left="-284"/>
      </w:pPr>
      <w:r w:rsidRPr="005C6647">
        <w:rPr>
          <w:rFonts w:hint="eastAsia"/>
          <w:i/>
          <w:iCs/>
          <w:highlight w:val="lightGray"/>
        </w:rPr>
        <w:t>●●市（</w:t>
      </w:r>
      <w:r w:rsidRPr="004E5B2A">
        <w:rPr>
          <w:rFonts w:hint="eastAsia"/>
          <w:i/>
          <w:iCs/>
          <w:highlight w:val="lightGray"/>
        </w:rPr>
        <w:t>施設所在地域</w:t>
      </w:r>
      <w:r>
        <w:rPr>
          <w:rFonts w:hint="eastAsia"/>
          <w:i/>
          <w:iCs/>
          <w:highlight w:val="lightGray"/>
        </w:rPr>
        <w:t>）</w:t>
      </w:r>
      <w:r w:rsidR="00F5363D" w:rsidRPr="000F711E">
        <w:rPr>
          <w:rFonts w:hint="eastAsia"/>
        </w:rPr>
        <w:t>の連携協定先</w:t>
      </w:r>
      <w:r w:rsidRPr="000F711E">
        <w:rPr>
          <w:rFonts w:hint="eastAsia"/>
        </w:rPr>
        <w:t>である</w:t>
      </w:r>
      <w:r>
        <w:rPr>
          <w:rFonts w:hint="eastAsia"/>
          <w:i/>
          <w:iCs/>
          <w:highlight w:val="lightGray"/>
        </w:rPr>
        <w:t>○○</w:t>
      </w:r>
      <w:r w:rsidRPr="000F711E">
        <w:rPr>
          <w:rFonts w:hint="eastAsia"/>
          <w:i/>
          <w:iCs/>
          <w:highlight w:val="lightGray"/>
        </w:rPr>
        <w:t>市</w:t>
      </w:r>
      <w:r>
        <w:rPr>
          <w:rFonts w:hint="eastAsia"/>
        </w:rPr>
        <w:t>に所在の発電施設で発電もしくは発行された電力・証書を供給する場合に配点の満点を与える。入札説明書別添３別紙２の適合証明書により、入札時に該当する電力</w:t>
      </w:r>
      <w:r w:rsidR="006C3C5B">
        <w:rPr>
          <w:rFonts w:hint="eastAsia"/>
        </w:rPr>
        <w:t>もしくは</w:t>
      </w:r>
      <w:r>
        <w:rPr>
          <w:rFonts w:hint="eastAsia"/>
        </w:rPr>
        <w:t>証書の発電施設情報を提出すること。また契約満了時に証書及びそのトラッキング情報を実績として報告すること。</w:t>
      </w:r>
    </w:p>
    <w:p w14:paraId="26E402E0" w14:textId="77777777" w:rsidR="000F711E" w:rsidRPr="000F711E" w:rsidRDefault="000F711E" w:rsidP="00EC6D3E">
      <w:pPr>
        <w:pStyle w:val="a9"/>
        <w:spacing w:line="320" w:lineRule="exact"/>
        <w:ind w:leftChars="-129" w:left="-284"/>
      </w:pPr>
    </w:p>
    <w:p w14:paraId="0DCBEB93" w14:textId="71F2F0A4" w:rsidR="004A74DC" w:rsidRPr="008E2E52" w:rsidRDefault="008E2E52" w:rsidP="00EC6D3E">
      <w:pPr>
        <w:pStyle w:val="a9"/>
        <w:spacing w:line="320" w:lineRule="exact"/>
        <w:ind w:leftChars="-129" w:left="-284"/>
        <w:rPr>
          <w:b/>
          <w:bCs/>
        </w:rPr>
      </w:pPr>
      <w:r w:rsidRPr="008E2E52">
        <w:rPr>
          <w:rFonts w:hint="eastAsia"/>
          <w:b/>
          <w:bCs/>
        </w:rPr>
        <w:t>キ　ディマンドレスポンスの取組</w:t>
      </w:r>
      <w:r w:rsidR="00F86B2B">
        <w:rPr>
          <w:rFonts w:hint="eastAsia"/>
          <w:b/>
          <w:bCs/>
        </w:rPr>
        <w:t xml:space="preserve">　</w:t>
      </w:r>
      <w:r w:rsidR="00F86B2B" w:rsidRPr="00037AE2">
        <w:rPr>
          <w:rFonts w:hint="eastAsia"/>
          <w:b/>
          <w:bCs/>
          <w:i/>
          <w:iCs/>
          <w:color w:val="A6A6A6" w:themeColor="background1" w:themeShade="A6"/>
        </w:rPr>
        <w:t>※評価しない場合はこの項目を削除すること。</w:t>
      </w:r>
    </w:p>
    <w:p w14:paraId="7D0559E9" w14:textId="0280BBF1" w:rsidR="008E2E52" w:rsidRDefault="00CE0F2C" w:rsidP="00EC6D3E">
      <w:pPr>
        <w:pStyle w:val="a9"/>
        <w:spacing w:line="320" w:lineRule="exact"/>
        <w:ind w:leftChars="-129" w:left="-284"/>
      </w:pPr>
      <w:r>
        <w:rPr>
          <w:rFonts w:hint="eastAsia"/>
        </w:rPr>
        <w:t xml:space="preserve">　</w:t>
      </w:r>
      <w:r w:rsidR="002F17CA">
        <w:rPr>
          <w:rFonts w:hint="eastAsia"/>
        </w:rPr>
        <w:t>小売電気事業者の電気料金型やインセンティブ型をはじめとした</w:t>
      </w:r>
      <w:r w:rsidR="00E76D6C">
        <w:rPr>
          <w:rFonts w:hint="eastAsia"/>
        </w:rPr>
        <w:t>、以下</w:t>
      </w:r>
      <w:r w:rsidR="002F3491">
        <w:rPr>
          <w:rFonts w:hint="eastAsia"/>
        </w:rPr>
        <w:t>に</w:t>
      </w:r>
      <w:r w:rsidR="00E76D6C">
        <w:rPr>
          <w:rFonts w:hint="eastAsia"/>
        </w:rPr>
        <w:t>記載する</w:t>
      </w:r>
      <w:r w:rsidR="002F17CA">
        <w:rPr>
          <w:rFonts w:hint="eastAsia"/>
        </w:rPr>
        <w:t>ディマンドレスポンスの</w:t>
      </w:r>
      <w:r w:rsidR="002F3491">
        <w:rPr>
          <w:rFonts w:hint="eastAsia"/>
        </w:rPr>
        <w:t>いずれかの</w:t>
      </w:r>
      <w:r w:rsidR="00E76D6C">
        <w:rPr>
          <w:rFonts w:hint="eastAsia"/>
        </w:rPr>
        <w:t>取組を行っていることを評価する。</w:t>
      </w:r>
    </w:p>
    <w:p w14:paraId="4005E8D2" w14:textId="77777777" w:rsidR="002F3491" w:rsidRDefault="002F3491" w:rsidP="00EC6D3E">
      <w:pPr>
        <w:pStyle w:val="a9"/>
        <w:spacing w:line="320" w:lineRule="exact"/>
        <w:ind w:leftChars="-129" w:left="-284"/>
      </w:pPr>
    </w:p>
    <w:p w14:paraId="7515B180" w14:textId="77777777" w:rsidR="002F3491" w:rsidRPr="002F3491" w:rsidRDefault="002F3491" w:rsidP="002F3491">
      <w:pPr>
        <w:pStyle w:val="a9"/>
        <w:numPr>
          <w:ilvl w:val="0"/>
          <w:numId w:val="3"/>
        </w:numPr>
        <w:spacing w:line="320" w:lineRule="exact"/>
        <w:ind w:leftChars="-129" w:left="-284" w:firstLine="426"/>
      </w:pPr>
      <w:r w:rsidRPr="002F3491">
        <w:rPr>
          <w:rFonts w:hint="eastAsia"/>
        </w:rPr>
        <w:t>下げDR（ピーク時節電）に関する加点例</w:t>
      </w:r>
    </w:p>
    <w:p w14:paraId="5C477C27" w14:textId="77777777" w:rsidR="002F3491" w:rsidRPr="002F3491" w:rsidRDefault="002F3491" w:rsidP="002E7D0F">
      <w:pPr>
        <w:pStyle w:val="a9"/>
        <w:numPr>
          <w:ilvl w:val="1"/>
          <w:numId w:val="3"/>
        </w:numPr>
        <w:spacing w:line="320" w:lineRule="exact"/>
        <w:ind w:leftChars="129" w:left="582" w:hanging="298"/>
      </w:pPr>
      <w:r w:rsidRPr="002F3491">
        <w:rPr>
          <w:rFonts w:hint="eastAsia"/>
        </w:rPr>
        <w:t>需給ひっ迫時のインセンティブ型DRを常設、高圧需要家向けの報酬付き節電プログラムの運用など</w:t>
      </w:r>
    </w:p>
    <w:p w14:paraId="3D72B95D" w14:textId="77777777" w:rsidR="002F3491" w:rsidRPr="002F3491" w:rsidRDefault="002F3491" w:rsidP="002F3491">
      <w:pPr>
        <w:pStyle w:val="a9"/>
        <w:numPr>
          <w:ilvl w:val="0"/>
          <w:numId w:val="3"/>
        </w:numPr>
        <w:spacing w:line="320" w:lineRule="exact"/>
        <w:ind w:leftChars="-129" w:left="-284" w:firstLine="454"/>
      </w:pPr>
      <w:r w:rsidRPr="002F3491">
        <w:rPr>
          <w:rFonts w:hint="eastAsia"/>
        </w:rPr>
        <w:t>上げDR（再エネ余剰吸収・ピークシフト）に関する加点例</w:t>
      </w:r>
    </w:p>
    <w:p w14:paraId="753DEC6A" w14:textId="77777777" w:rsidR="002F3491" w:rsidRPr="002F3491" w:rsidRDefault="002F3491" w:rsidP="003D4BD3">
      <w:pPr>
        <w:pStyle w:val="a9"/>
        <w:numPr>
          <w:ilvl w:val="1"/>
          <w:numId w:val="3"/>
        </w:numPr>
        <w:spacing w:line="320" w:lineRule="exact"/>
        <w:ind w:leftChars="193" w:left="442" w:hanging="17"/>
      </w:pPr>
      <w:r w:rsidRPr="002F3491">
        <w:rPr>
          <w:rFonts w:hint="eastAsia"/>
        </w:rPr>
        <w:t>再エネ出力抑制時間帯に合わせた「上げDRメニュー」、季節キャンペーン型の需要前倒し（先冷/先充電等）など</w:t>
      </w:r>
    </w:p>
    <w:p w14:paraId="63A39139" w14:textId="77777777" w:rsidR="002F3491" w:rsidRPr="002F3491" w:rsidRDefault="002F3491" w:rsidP="002E7D0F">
      <w:pPr>
        <w:pStyle w:val="a9"/>
        <w:numPr>
          <w:ilvl w:val="0"/>
          <w:numId w:val="3"/>
        </w:numPr>
        <w:spacing w:line="320" w:lineRule="exact"/>
        <w:ind w:leftChars="-65" w:left="-143" w:firstLine="314"/>
      </w:pPr>
      <w:r w:rsidRPr="002F3491">
        <w:rPr>
          <w:rFonts w:hint="eastAsia"/>
        </w:rPr>
        <w:t>アプリ/見える化/スマートメーター連動に関する加点例</w:t>
      </w:r>
    </w:p>
    <w:p w14:paraId="15071525" w14:textId="77777777" w:rsidR="002F3491" w:rsidRPr="002F3491" w:rsidRDefault="002F3491" w:rsidP="002E7D0F">
      <w:pPr>
        <w:pStyle w:val="a9"/>
        <w:numPr>
          <w:ilvl w:val="1"/>
          <w:numId w:val="3"/>
        </w:numPr>
        <w:spacing w:line="320" w:lineRule="exact"/>
        <w:ind w:leftChars="186" w:left="549" w:hanging="140"/>
      </w:pPr>
      <w:r w:rsidRPr="002F3491">
        <w:rPr>
          <w:rFonts w:hint="eastAsia"/>
        </w:rPr>
        <w:t>アプリによる節電ナッジ＋ポイント付与、スマートメーター・マイページのアラート機能（当日/直前プッシュ）など</w:t>
      </w:r>
    </w:p>
    <w:p w14:paraId="4BC2F353"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IoT機器の遠隔制御（機器制御型DR）に関する加点例</w:t>
      </w:r>
    </w:p>
    <w:p w14:paraId="10FD8A8D" w14:textId="77777777" w:rsidR="002F3491" w:rsidRPr="002F3491" w:rsidRDefault="002F3491" w:rsidP="002E7D0F">
      <w:pPr>
        <w:pStyle w:val="a9"/>
        <w:numPr>
          <w:ilvl w:val="1"/>
          <w:numId w:val="3"/>
        </w:numPr>
        <w:spacing w:line="320" w:lineRule="exact"/>
        <w:ind w:leftChars="186" w:left="549" w:hanging="140"/>
      </w:pPr>
      <w:r w:rsidRPr="002F3491">
        <w:rPr>
          <w:rFonts w:hint="eastAsia"/>
        </w:rPr>
        <w:t>通信機能付きヒートポンプ給湯機/蓄電池の事前同意に基づく遠隔制御、EV充電の時間帯別制御/課金（オプトイン方式）</w:t>
      </w:r>
    </w:p>
    <w:p w14:paraId="69B8FD11"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料金メニュー（価格シグナル）に関する加点例</w:t>
      </w:r>
    </w:p>
    <w:p w14:paraId="78D157B4" w14:textId="77777777" w:rsidR="002F3491" w:rsidRPr="002F3491" w:rsidRDefault="002F3491" w:rsidP="002E7D0F">
      <w:pPr>
        <w:pStyle w:val="a9"/>
        <w:numPr>
          <w:ilvl w:val="1"/>
          <w:numId w:val="3"/>
        </w:numPr>
        <w:spacing w:line="320" w:lineRule="exact"/>
        <w:ind w:leftChars="186" w:left="549" w:hanging="140"/>
      </w:pPr>
      <w:r w:rsidRPr="002F3491">
        <w:rPr>
          <w:rFonts w:hint="eastAsia"/>
        </w:rPr>
        <w:t>季節別・時間帯別・曜日別の料金設計、市場連動型（JEPX連動等）プラン、ネガワット取引など</w:t>
      </w:r>
    </w:p>
    <w:p w14:paraId="121E8F20"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アグリゲーション/VPP・市場連携に関する加点例</w:t>
      </w:r>
    </w:p>
    <w:p w14:paraId="3965867B" w14:textId="77777777" w:rsidR="002F3491" w:rsidRPr="002F3491" w:rsidRDefault="002F3491" w:rsidP="002E7D0F">
      <w:pPr>
        <w:pStyle w:val="a9"/>
        <w:numPr>
          <w:ilvl w:val="1"/>
          <w:numId w:val="3"/>
        </w:numPr>
        <w:spacing w:line="320" w:lineRule="exact"/>
        <w:ind w:leftChars="186" w:left="690" w:hanging="281"/>
      </w:pPr>
      <w:r w:rsidRPr="002F3491">
        <w:rPr>
          <w:rFonts w:hint="eastAsia"/>
        </w:rPr>
        <w:t>アグリゲーターとして容量市場の発動指令電源を保有/運用、需給調整市場（一次/三次①等）・調整力市場I’へのDR供出、VPP（仮想発電所）の構築・実証及び運用など</w:t>
      </w:r>
    </w:p>
    <w:p w14:paraId="06E4FDF2" w14:textId="77777777" w:rsidR="002F3491" w:rsidRPr="002F3491" w:rsidRDefault="002F3491" w:rsidP="002E7D0F">
      <w:pPr>
        <w:pStyle w:val="a9"/>
        <w:numPr>
          <w:ilvl w:val="0"/>
          <w:numId w:val="3"/>
        </w:numPr>
        <w:spacing w:line="320" w:lineRule="exact"/>
        <w:ind w:leftChars="-129" w:left="-284" w:firstLine="426"/>
      </w:pPr>
      <w:r w:rsidRPr="002F3491">
        <w:rPr>
          <w:rFonts w:hint="eastAsia"/>
        </w:rPr>
        <w:t>地域エネルギー×DR（マイクログリッド等）に関する加点例</w:t>
      </w:r>
    </w:p>
    <w:p w14:paraId="19EED78D" w14:textId="77777777" w:rsidR="002F3491" w:rsidRPr="002F3491" w:rsidRDefault="002F3491" w:rsidP="002E7D0F">
      <w:pPr>
        <w:pStyle w:val="a9"/>
        <w:numPr>
          <w:ilvl w:val="1"/>
          <w:numId w:val="3"/>
        </w:numPr>
        <w:spacing w:line="320" w:lineRule="exact"/>
        <w:ind w:left="709" w:hanging="283"/>
      </w:pPr>
      <w:r w:rsidRPr="002F3491">
        <w:rPr>
          <w:rFonts w:hint="eastAsia"/>
        </w:rPr>
        <w:t>地区EMSと連携したDRオペレーションなど</w:t>
      </w:r>
    </w:p>
    <w:p w14:paraId="46B32AB6" w14:textId="77777777" w:rsidR="00E76D6C" w:rsidRPr="002F3491" w:rsidRDefault="00E76D6C" w:rsidP="00EC6D3E">
      <w:pPr>
        <w:pStyle w:val="a9"/>
        <w:spacing w:line="320" w:lineRule="exact"/>
        <w:ind w:leftChars="-129" w:left="-284"/>
      </w:pPr>
    </w:p>
    <w:p w14:paraId="51827359" w14:textId="77777777" w:rsidR="000F0BD2" w:rsidRDefault="000F0BD2" w:rsidP="000F0BD2">
      <w:pPr>
        <w:pStyle w:val="a9"/>
        <w:numPr>
          <w:ilvl w:val="0"/>
          <w:numId w:val="2"/>
        </w:numPr>
        <w:spacing w:line="320" w:lineRule="exact"/>
      </w:pPr>
      <w:r>
        <w:rPr>
          <w:rFonts w:hint="eastAsia"/>
        </w:rPr>
        <w:t>提出を必須とする資料</w:t>
      </w:r>
    </w:p>
    <w:p w14:paraId="1D32B459" w14:textId="08AC5171" w:rsidR="001D6478" w:rsidRDefault="004A74DC" w:rsidP="003D4BD3">
      <w:pPr>
        <w:spacing w:line="240" w:lineRule="exact"/>
      </w:pPr>
      <w:r>
        <w:rPr>
          <w:rFonts w:hint="eastAsia"/>
        </w:rPr>
        <w:t>ウ～</w:t>
      </w:r>
      <w:r w:rsidR="003D4BD3">
        <w:rPr>
          <w:rFonts w:hint="eastAsia"/>
        </w:rPr>
        <w:t>キ</w:t>
      </w:r>
      <w:r w:rsidR="003D4BD3" w:rsidRPr="003D4BD3">
        <w:rPr>
          <w:rFonts w:hint="eastAsia"/>
          <w:color w:val="A6A6A6" w:themeColor="background1" w:themeShade="A6"/>
        </w:rPr>
        <w:t>※</w:t>
      </w:r>
      <w:r>
        <w:rPr>
          <w:rFonts w:hint="eastAsia"/>
        </w:rPr>
        <w:t>の</w:t>
      </w:r>
      <w:r w:rsidR="00691D05">
        <w:rPr>
          <w:rFonts w:hint="eastAsia"/>
        </w:rPr>
        <w:t>評価項目の取組状況を様式１により提出すること。</w:t>
      </w:r>
    </w:p>
    <w:p w14:paraId="4C975AE1" w14:textId="06DA3205" w:rsidR="003D4BD3" w:rsidRPr="003D4BD3" w:rsidRDefault="003D4BD3" w:rsidP="003D4BD3">
      <w:pPr>
        <w:spacing w:line="240" w:lineRule="exact"/>
        <w:rPr>
          <w:i/>
          <w:iCs/>
          <w:color w:val="A6A6A6" w:themeColor="background1" w:themeShade="A6"/>
        </w:rPr>
      </w:pPr>
      <w:r w:rsidRPr="003D4BD3">
        <w:rPr>
          <w:rFonts w:hint="eastAsia"/>
          <w:i/>
          <w:iCs/>
          <w:color w:val="A6A6A6" w:themeColor="background1" w:themeShade="A6"/>
        </w:rPr>
        <w:t>※キを評価項目に含めない場合は「カ」に修正すること。</w:t>
      </w:r>
    </w:p>
    <w:p w14:paraId="0E09AED6" w14:textId="77777777" w:rsidR="001D6478" w:rsidRDefault="001D6478">
      <w:pPr>
        <w:widowControl/>
      </w:pPr>
      <w:r>
        <w:br w:type="page"/>
      </w:r>
    </w:p>
    <w:p w14:paraId="1FEADF62" w14:textId="6E40EF8D" w:rsidR="001D6478" w:rsidRDefault="001D6478" w:rsidP="001D6478">
      <w:pPr>
        <w:widowControl/>
        <w:jc w:val="right"/>
      </w:pPr>
      <w:r>
        <w:rPr>
          <w:rFonts w:hint="eastAsia"/>
        </w:rPr>
        <w:lastRenderedPageBreak/>
        <w:t>様式１</w:t>
      </w:r>
    </w:p>
    <w:p w14:paraId="58509CF2" w14:textId="395C288E" w:rsidR="00D82083" w:rsidRDefault="00D52F84" w:rsidP="00D82083">
      <w:pPr>
        <w:spacing w:line="320" w:lineRule="exact"/>
        <w:jc w:val="center"/>
        <w:rPr>
          <w:sz w:val="32"/>
          <w:szCs w:val="32"/>
        </w:rPr>
      </w:pPr>
      <w:r w:rsidRPr="00002A73">
        <w:rPr>
          <w:rFonts w:hint="eastAsia"/>
          <w:sz w:val="32"/>
          <w:szCs w:val="32"/>
        </w:rPr>
        <w:t>総合評価落札方式における評価項目の</w:t>
      </w:r>
      <w:r w:rsidR="00002A73" w:rsidRPr="00002A73">
        <w:rPr>
          <w:rFonts w:hint="eastAsia"/>
          <w:sz w:val="32"/>
          <w:szCs w:val="32"/>
        </w:rPr>
        <w:t>取組状況</w:t>
      </w:r>
    </w:p>
    <w:p w14:paraId="33249C35" w14:textId="77777777" w:rsidR="00002A73" w:rsidRPr="00002A73" w:rsidRDefault="00002A73" w:rsidP="006C000D">
      <w:pPr>
        <w:spacing w:line="280" w:lineRule="exact"/>
        <w:rPr>
          <w:sz w:val="32"/>
          <w:szCs w:val="32"/>
        </w:rPr>
      </w:pPr>
    </w:p>
    <w:p w14:paraId="6FBD5CCA" w14:textId="5E009B3F" w:rsidR="004A74DC" w:rsidRDefault="00D82083" w:rsidP="006C000D">
      <w:pPr>
        <w:spacing w:line="280" w:lineRule="exact"/>
      </w:pPr>
      <w:r>
        <w:rPr>
          <w:rFonts w:hint="eastAsia"/>
        </w:rPr>
        <w:t>令和〇年〇月〇日</w:t>
      </w:r>
    </w:p>
    <w:p w14:paraId="168DEE6D" w14:textId="32382D78" w:rsidR="00D82083" w:rsidRDefault="00002A73" w:rsidP="006C000D">
      <w:pPr>
        <w:spacing w:after="0" w:line="280" w:lineRule="exact"/>
        <w:ind w:rightChars="515" w:right="1133"/>
        <w:jc w:val="right"/>
      </w:pPr>
      <w:r>
        <w:rPr>
          <w:rFonts w:hint="eastAsia"/>
        </w:rPr>
        <w:t xml:space="preserve">住所　　　　　</w:t>
      </w:r>
    </w:p>
    <w:p w14:paraId="1F080851" w14:textId="75D37DA7" w:rsidR="00002A73" w:rsidRDefault="00002A73" w:rsidP="006C000D">
      <w:pPr>
        <w:spacing w:after="0" w:line="280" w:lineRule="exact"/>
        <w:ind w:rightChars="515" w:right="1133"/>
        <w:jc w:val="right"/>
      </w:pPr>
      <w:r>
        <w:rPr>
          <w:rFonts w:hint="eastAsia"/>
        </w:rPr>
        <w:t xml:space="preserve">会社名　　　　　</w:t>
      </w:r>
    </w:p>
    <w:p w14:paraId="1C54BCDC" w14:textId="71732886" w:rsidR="00002A73" w:rsidRDefault="00002A73" w:rsidP="006C000D">
      <w:pPr>
        <w:spacing w:after="0" w:line="280" w:lineRule="exact"/>
        <w:ind w:rightChars="515" w:right="1133"/>
        <w:jc w:val="right"/>
      </w:pPr>
      <w:r>
        <w:rPr>
          <w:rFonts w:hint="eastAsia"/>
        </w:rPr>
        <w:t xml:space="preserve">代表者氏名　　　　　</w:t>
      </w:r>
    </w:p>
    <w:p w14:paraId="25125953" w14:textId="77777777" w:rsidR="006C000D" w:rsidRDefault="006C000D" w:rsidP="006C000D">
      <w:pPr>
        <w:spacing w:line="280" w:lineRule="exact"/>
      </w:pPr>
    </w:p>
    <w:p w14:paraId="59ACAD35" w14:textId="126AC4F3" w:rsidR="001D6478" w:rsidRDefault="00BF0B4B" w:rsidP="006C000D">
      <w:pPr>
        <w:spacing w:line="280" w:lineRule="exact"/>
      </w:pPr>
      <w:r>
        <w:rPr>
          <w:rFonts w:hint="eastAsia"/>
        </w:rPr>
        <w:t>このことについて、</w:t>
      </w:r>
      <w:r w:rsidR="006C000D">
        <w:rPr>
          <w:rFonts w:hint="eastAsia"/>
        </w:rPr>
        <w:t>関係書類を添えて下記のとおり報告します。</w:t>
      </w:r>
    </w:p>
    <w:p w14:paraId="15819CB9" w14:textId="668164A1" w:rsidR="0042622A" w:rsidRDefault="0042622A" w:rsidP="006C000D">
      <w:pPr>
        <w:spacing w:line="280" w:lineRule="exact"/>
      </w:pPr>
      <w:r>
        <w:rPr>
          <w:rFonts w:hint="eastAsia"/>
        </w:rPr>
        <w:t>なお、この報告書及び添付書類のすべての記載事項は、事実と相違ないことを誓約します。</w:t>
      </w:r>
    </w:p>
    <w:p w14:paraId="176B0C03" w14:textId="77777777" w:rsidR="0042622A" w:rsidRDefault="0042622A" w:rsidP="007B208E">
      <w:pPr>
        <w:spacing w:line="280" w:lineRule="exact"/>
      </w:pPr>
    </w:p>
    <w:p w14:paraId="6CD71F76" w14:textId="77777777" w:rsidR="0042622A" w:rsidRDefault="0042622A" w:rsidP="007B208E">
      <w:pPr>
        <w:pStyle w:val="af9"/>
        <w:spacing w:after="0" w:line="280" w:lineRule="exact"/>
      </w:pPr>
      <w:r>
        <w:rPr>
          <w:rFonts w:hint="eastAsia"/>
        </w:rPr>
        <w:t>記</w:t>
      </w:r>
    </w:p>
    <w:p w14:paraId="2E822F51" w14:textId="77777777" w:rsidR="007B208E" w:rsidRPr="007B208E" w:rsidRDefault="007B208E" w:rsidP="007B208E">
      <w:pPr>
        <w:spacing w:line="280" w:lineRule="exact"/>
      </w:pPr>
    </w:p>
    <w:p w14:paraId="13DEF3CC" w14:textId="7BF8656A" w:rsidR="0042622A" w:rsidRDefault="00F67CB8" w:rsidP="00E432F3">
      <w:pPr>
        <w:spacing w:after="0" w:line="280" w:lineRule="exact"/>
      </w:pPr>
      <w:r>
        <w:rPr>
          <w:rFonts w:hint="eastAsia"/>
        </w:rPr>
        <w:t>件名：　△△</w:t>
      </w:r>
      <w:r w:rsidR="00E432F3">
        <w:rPr>
          <w:rFonts w:hint="eastAsia"/>
        </w:rPr>
        <w:t>で使用する電気の調達</w:t>
      </w:r>
    </w:p>
    <w:tbl>
      <w:tblPr>
        <w:tblStyle w:val="afd"/>
        <w:tblW w:w="0" w:type="auto"/>
        <w:tblLook w:val="04A0" w:firstRow="1" w:lastRow="0" w:firstColumn="1" w:lastColumn="0" w:noHBand="0" w:noVBand="1"/>
      </w:tblPr>
      <w:tblGrid>
        <w:gridCol w:w="562"/>
        <w:gridCol w:w="4820"/>
        <w:gridCol w:w="3112"/>
      </w:tblGrid>
      <w:tr w:rsidR="00C117BE" w14:paraId="449BE029" w14:textId="77777777" w:rsidTr="009449B5">
        <w:trPr>
          <w:trHeight w:val="552"/>
        </w:trPr>
        <w:tc>
          <w:tcPr>
            <w:tcW w:w="5382" w:type="dxa"/>
            <w:gridSpan w:val="2"/>
            <w:vAlign w:val="center"/>
          </w:tcPr>
          <w:p w14:paraId="57F5B64A" w14:textId="6D861D1A" w:rsidR="00C117BE" w:rsidRDefault="00C117BE" w:rsidP="009449B5">
            <w:pPr>
              <w:spacing w:line="280" w:lineRule="exact"/>
              <w:jc w:val="center"/>
            </w:pPr>
            <w:r>
              <w:rPr>
                <w:rFonts w:hint="eastAsia"/>
              </w:rPr>
              <w:t>項目</w:t>
            </w:r>
          </w:p>
        </w:tc>
        <w:tc>
          <w:tcPr>
            <w:tcW w:w="3112" w:type="dxa"/>
            <w:vAlign w:val="center"/>
          </w:tcPr>
          <w:p w14:paraId="085F21AF" w14:textId="19833E90" w:rsidR="00C117BE" w:rsidRDefault="009449B5" w:rsidP="009449B5">
            <w:pPr>
              <w:spacing w:line="280" w:lineRule="exact"/>
              <w:jc w:val="center"/>
            </w:pPr>
            <w:r>
              <w:rPr>
                <w:rFonts w:hint="eastAsia"/>
              </w:rPr>
              <w:t>自社の基準値／計画値／取組</w:t>
            </w:r>
          </w:p>
        </w:tc>
      </w:tr>
      <w:tr w:rsidR="00A56628" w14:paraId="4D709B17" w14:textId="77777777" w:rsidTr="00A55FA4">
        <w:trPr>
          <w:trHeight w:val="543"/>
        </w:trPr>
        <w:tc>
          <w:tcPr>
            <w:tcW w:w="562" w:type="dxa"/>
          </w:tcPr>
          <w:p w14:paraId="1E438CCD" w14:textId="37138CC3" w:rsidR="00A56628" w:rsidRDefault="00432EAB" w:rsidP="00E432F3">
            <w:pPr>
              <w:spacing w:line="280" w:lineRule="exact"/>
            </w:pPr>
            <w:r>
              <w:rPr>
                <w:rFonts w:hint="eastAsia"/>
              </w:rPr>
              <w:t>ア</w:t>
            </w:r>
          </w:p>
        </w:tc>
        <w:tc>
          <w:tcPr>
            <w:tcW w:w="4820" w:type="dxa"/>
          </w:tcPr>
          <w:p w14:paraId="2AF35778" w14:textId="5E45FC3D" w:rsidR="00A56628" w:rsidRDefault="00C117BE" w:rsidP="00E432F3">
            <w:pPr>
              <w:spacing w:line="280" w:lineRule="exact"/>
            </w:pPr>
            <w:r w:rsidRPr="00184C1B">
              <w:rPr>
                <w:rFonts w:hint="eastAsia"/>
              </w:rPr>
              <w:t>令和７年度</w:t>
            </w:r>
            <w:r w:rsidRPr="00184C1B">
              <w:t>1kWh当たりの</w:t>
            </w:r>
            <w:r w:rsidRPr="00184C1B">
              <w:rPr>
                <w:rFonts w:hint="eastAsia"/>
              </w:rPr>
              <w:t>事業者全体の</w:t>
            </w:r>
            <w:r w:rsidRPr="00184C1B">
              <w:t>二酸化炭素排出係数（単位：kg-CO2/kWh）</w:t>
            </w:r>
          </w:p>
        </w:tc>
        <w:tc>
          <w:tcPr>
            <w:tcW w:w="3112" w:type="dxa"/>
          </w:tcPr>
          <w:p w14:paraId="546F5083" w14:textId="77777777" w:rsidR="00A56628" w:rsidRDefault="00A56628" w:rsidP="00E432F3">
            <w:pPr>
              <w:spacing w:line="280" w:lineRule="exact"/>
            </w:pPr>
          </w:p>
        </w:tc>
      </w:tr>
      <w:tr w:rsidR="00184C1B" w14:paraId="6D40402A" w14:textId="77777777" w:rsidTr="00A55FA4">
        <w:trPr>
          <w:trHeight w:val="532"/>
        </w:trPr>
        <w:tc>
          <w:tcPr>
            <w:tcW w:w="562" w:type="dxa"/>
          </w:tcPr>
          <w:p w14:paraId="4D3A8770" w14:textId="1CAB6E61" w:rsidR="00184C1B" w:rsidRDefault="00184C1B" w:rsidP="00E432F3">
            <w:pPr>
              <w:spacing w:line="280" w:lineRule="exact"/>
            </w:pPr>
            <w:r>
              <w:rPr>
                <w:rFonts w:hint="eastAsia"/>
              </w:rPr>
              <w:t>イ</w:t>
            </w:r>
          </w:p>
        </w:tc>
        <w:tc>
          <w:tcPr>
            <w:tcW w:w="4820" w:type="dxa"/>
          </w:tcPr>
          <w:p w14:paraId="596AB0BF" w14:textId="316FEAB5" w:rsidR="00184C1B" w:rsidRDefault="00184C1B" w:rsidP="00E432F3">
            <w:pPr>
              <w:spacing w:line="280" w:lineRule="exact"/>
            </w:pPr>
            <w:r>
              <w:rPr>
                <w:rFonts w:hint="eastAsia"/>
              </w:rPr>
              <w:t>調達電力に占める再生可能エネルギーの割合（単位：％）</w:t>
            </w:r>
          </w:p>
        </w:tc>
        <w:tc>
          <w:tcPr>
            <w:tcW w:w="3112" w:type="dxa"/>
          </w:tcPr>
          <w:p w14:paraId="6D0B8027" w14:textId="77777777" w:rsidR="00184C1B" w:rsidRDefault="00184C1B" w:rsidP="00E432F3">
            <w:pPr>
              <w:spacing w:line="280" w:lineRule="exact"/>
            </w:pPr>
          </w:p>
        </w:tc>
      </w:tr>
      <w:tr w:rsidR="00A56628" w14:paraId="0B455F48" w14:textId="77777777" w:rsidTr="00A55FA4">
        <w:trPr>
          <w:trHeight w:val="532"/>
        </w:trPr>
        <w:tc>
          <w:tcPr>
            <w:tcW w:w="562" w:type="dxa"/>
          </w:tcPr>
          <w:p w14:paraId="5DD2C03B" w14:textId="6A6CBB00" w:rsidR="00A56628" w:rsidRDefault="000D5365" w:rsidP="00E432F3">
            <w:pPr>
              <w:spacing w:line="280" w:lineRule="exact"/>
            </w:pPr>
            <w:r>
              <w:rPr>
                <w:rFonts w:hint="eastAsia"/>
              </w:rPr>
              <w:t>ウ</w:t>
            </w:r>
          </w:p>
        </w:tc>
        <w:tc>
          <w:tcPr>
            <w:tcW w:w="4820" w:type="dxa"/>
          </w:tcPr>
          <w:p w14:paraId="73FA919A" w14:textId="0E1E9CDB" w:rsidR="00A56628" w:rsidRDefault="000D5365" w:rsidP="00E432F3">
            <w:pPr>
              <w:spacing w:line="280" w:lineRule="exact"/>
            </w:pPr>
            <w:r>
              <w:rPr>
                <w:rFonts w:hint="eastAsia"/>
              </w:rPr>
              <w:t>令和７年度再生可能エネルギー導入状況</w:t>
            </w:r>
            <w:r w:rsidR="00B94CFE" w:rsidRPr="00B94CFE">
              <w:rPr>
                <w:rFonts w:hint="eastAsia"/>
              </w:rPr>
              <w:t>（単位：％）</w:t>
            </w:r>
          </w:p>
        </w:tc>
        <w:tc>
          <w:tcPr>
            <w:tcW w:w="3112" w:type="dxa"/>
          </w:tcPr>
          <w:p w14:paraId="6EB0AF63" w14:textId="77777777" w:rsidR="00A56628" w:rsidRDefault="00A56628" w:rsidP="00E432F3">
            <w:pPr>
              <w:spacing w:line="280" w:lineRule="exact"/>
            </w:pPr>
          </w:p>
        </w:tc>
      </w:tr>
      <w:tr w:rsidR="00A56628" w14:paraId="360FF0B7" w14:textId="77777777" w:rsidTr="00A55FA4">
        <w:trPr>
          <w:trHeight w:val="463"/>
        </w:trPr>
        <w:tc>
          <w:tcPr>
            <w:tcW w:w="562" w:type="dxa"/>
          </w:tcPr>
          <w:p w14:paraId="39BDD2AB" w14:textId="02FF6D18" w:rsidR="00A56628" w:rsidRDefault="00A55FA4" w:rsidP="00E432F3">
            <w:pPr>
              <w:spacing w:line="280" w:lineRule="exact"/>
            </w:pPr>
            <w:r>
              <w:rPr>
                <w:rFonts w:hint="eastAsia"/>
              </w:rPr>
              <w:t>エ</w:t>
            </w:r>
          </w:p>
        </w:tc>
        <w:tc>
          <w:tcPr>
            <w:tcW w:w="4820" w:type="dxa"/>
          </w:tcPr>
          <w:p w14:paraId="7F64F96F" w14:textId="78B5768D" w:rsidR="00A56628" w:rsidRDefault="000D5365" w:rsidP="00E432F3">
            <w:pPr>
              <w:spacing w:line="280" w:lineRule="exact"/>
            </w:pPr>
            <w:r>
              <w:rPr>
                <w:rFonts w:hint="eastAsia"/>
              </w:rPr>
              <w:t>令和７年度未利用エネルギー活用状況</w:t>
            </w:r>
            <w:r w:rsidR="00B94CFE" w:rsidRPr="00B94CFE">
              <w:rPr>
                <w:rFonts w:hint="eastAsia"/>
              </w:rPr>
              <w:t>（単位：％）</w:t>
            </w:r>
          </w:p>
        </w:tc>
        <w:tc>
          <w:tcPr>
            <w:tcW w:w="3112" w:type="dxa"/>
          </w:tcPr>
          <w:p w14:paraId="5FC224F0" w14:textId="77777777" w:rsidR="00A56628" w:rsidRDefault="00A56628" w:rsidP="00E432F3">
            <w:pPr>
              <w:spacing w:line="280" w:lineRule="exact"/>
            </w:pPr>
          </w:p>
        </w:tc>
      </w:tr>
      <w:tr w:rsidR="00A56628" w14:paraId="6AB00C5E" w14:textId="77777777" w:rsidTr="00A55FA4">
        <w:trPr>
          <w:trHeight w:val="541"/>
        </w:trPr>
        <w:tc>
          <w:tcPr>
            <w:tcW w:w="562" w:type="dxa"/>
          </w:tcPr>
          <w:p w14:paraId="69EE89F2" w14:textId="62E20514" w:rsidR="00A56628" w:rsidRDefault="00A55FA4" w:rsidP="00E432F3">
            <w:pPr>
              <w:spacing w:line="280" w:lineRule="exact"/>
            </w:pPr>
            <w:r>
              <w:rPr>
                <w:rFonts w:hint="eastAsia"/>
              </w:rPr>
              <w:t>オ</w:t>
            </w:r>
          </w:p>
        </w:tc>
        <w:tc>
          <w:tcPr>
            <w:tcW w:w="4820" w:type="dxa"/>
          </w:tcPr>
          <w:p w14:paraId="1C927B0B" w14:textId="28CE5A89" w:rsidR="00A56628" w:rsidRDefault="008E2E52" w:rsidP="00E432F3">
            <w:pPr>
              <w:spacing w:line="280" w:lineRule="exact"/>
            </w:pPr>
            <w:r w:rsidRPr="008E2E52">
              <w:rPr>
                <w:rFonts w:hint="eastAsia"/>
              </w:rPr>
              <w:t>調達電力に占める追加性のある再生可能エネルギーの割合（本契約の調達電力に占める再エネ割合※を右欄に記載すること。）（単位：％）</w:t>
            </w:r>
          </w:p>
        </w:tc>
        <w:tc>
          <w:tcPr>
            <w:tcW w:w="3112" w:type="dxa"/>
          </w:tcPr>
          <w:p w14:paraId="3A871150" w14:textId="77777777" w:rsidR="00A56628" w:rsidRDefault="00A56628" w:rsidP="00E432F3">
            <w:pPr>
              <w:spacing w:line="280" w:lineRule="exact"/>
            </w:pPr>
          </w:p>
        </w:tc>
      </w:tr>
      <w:tr w:rsidR="00A56628" w14:paraId="6EBE2E2C" w14:textId="77777777" w:rsidTr="00A55FA4">
        <w:trPr>
          <w:trHeight w:val="549"/>
        </w:trPr>
        <w:tc>
          <w:tcPr>
            <w:tcW w:w="562" w:type="dxa"/>
          </w:tcPr>
          <w:p w14:paraId="0F810A55" w14:textId="5F7D338C" w:rsidR="00A56628" w:rsidRDefault="00A55FA4" w:rsidP="00E432F3">
            <w:pPr>
              <w:spacing w:line="280" w:lineRule="exact"/>
            </w:pPr>
            <w:r>
              <w:rPr>
                <w:rFonts w:hint="eastAsia"/>
              </w:rPr>
              <w:t>カ</w:t>
            </w:r>
          </w:p>
        </w:tc>
        <w:tc>
          <w:tcPr>
            <w:tcW w:w="4820" w:type="dxa"/>
          </w:tcPr>
          <w:p w14:paraId="16B1E7BB" w14:textId="11C02BD7" w:rsidR="006C24D7" w:rsidRDefault="008E2E52" w:rsidP="006C24D7">
            <w:pPr>
              <w:spacing w:line="280" w:lineRule="exact"/>
            </w:pPr>
            <w:r w:rsidRPr="008E2E52">
              <w:rPr>
                <w:rFonts w:hint="eastAsia"/>
              </w:rPr>
              <w:t>地域脱炭素化促進事業制度</w:t>
            </w:r>
            <w:r w:rsidR="006C24D7">
              <w:rPr>
                <w:rFonts w:hint="eastAsia"/>
              </w:rPr>
              <w:t>／</w:t>
            </w:r>
            <w:r w:rsidRPr="008E2E52">
              <w:rPr>
                <w:rFonts w:hint="eastAsia"/>
              </w:rPr>
              <w:t>卒</w:t>
            </w:r>
            <w:r w:rsidRPr="008E2E52">
              <w:t>FIT電力</w:t>
            </w:r>
            <w:r w:rsidR="006C24D7">
              <w:rPr>
                <w:rFonts w:hint="eastAsia"/>
              </w:rPr>
              <w:t>の</w:t>
            </w:r>
            <w:r w:rsidR="00CB7A3D">
              <w:rPr>
                <w:rFonts w:hint="eastAsia"/>
              </w:rPr>
              <w:t>買取</w:t>
            </w:r>
            <w:r w:rsidR="006C24D7">
              <w:rPr>
                <w:rFonts w:hint="eastAsia"/>
              </w:rPr>
              <w:t>／</w:t>
            </w:r>
            <w:r w:rsidRPr="008E2E52">
              <w:t>連携協定先の再エネ割合</w:t>
            </w:r>
            <w:r w:rsidR="0067143C" w:rsidRPr="000B1159">
              <w:rPr>
                <w:rFonts w:hint="eastAsia"/>
                <w:i/>
                <w:iCs/>
                <w:color w:val="A6A6A6" w:themeColor="background1" w:themeShade="A6"/>
              </w:rPr>
              <w:t>※</w:t>
            </w:r>
          </w:p>
          <w:p w14:paraId="7ED757F9" w14:textId="0EE2413A" w:rsidR="00A56628" w:rsidRDefault="00AF56A4" w:rsidP="006C24D7">
            <w:pPr>
              <w:spacing w:line="280" w:lineRule="exact"/>
            </w:pPr>
            <w:r>
              <w:rPr>
                <w:rFonts w:hint="eastAsia"/>
              </w:rPr>
              <w:t>（</w:t>
            </w:r>
            <w:r w:rsidR="008E2E52" w:rsidRPr="008E2E52">
              <w:t>該当する場合には右欄に「有」と記載した上で</w:t>
            </w:r>
            <w:r>
              <w:rPr>
                <w:rFonts w:hint="eastAsia"/>
              </w:rPr>
              <w:t>関係書類</w:t>
            </w:r>
            <w:r w:rsidR="008E2E52" w:rsidRPr="008E2E52">
              <w:t>を提出</w:t>
            </w:r>
            <w:r w:rsidR="008E480D">
              <w:rPr>
                <w:rFonts w:hint="eastAsia"/>
              </w:rPr>
              <w:t>すること</w:t>
            </w:r>
            <w:r>
              <w:rPr>
                <w:rFonts w:hint="eastAsia"/>
              </w:rPr>
              <w:t>。）</w:t>
            </w:r>
          </w:p>
        </w:tc>
        <w:tc>
          <w:tcPr>
            <w:tcW w:w="3112" w:type="dxa"/>
          </w:tcPr>
          <w:p w14:paraId="2656E5E4" w14:textId="77777777" w:rsidR="00A56628" w:rsidRDefault="00A56628" w:rsidP="00E432F3">
            <w:pPr>
              <w:spacing w:line="280" w:lineRule="exact"/>
            </w:pPr>
          </w:p>
        </w:tc>
      </w:tr>
      <w:tr w:rsidR="00AE754B" w14:paraId="408B8907" w14:textId="77777777" w:rsidTr="00A55FA4">
        <w:trPr>
          <w:trHeight w:val="549"/>
        </w:trPr>
        <w:tc>
          <w:tcPr>
            <w:tcW w:w="562" w:type="dxa"/>
          </w:tcPr>
          <w:p w14:paraId="37DE5C92" w14:textId="1E4C281A" w:rsidR="00AE754B" w:rsidRDefault="00A55FA4" w:rsidP="00E432F3">
            <w:pPr>
              <w:spacing w:line="280" w:lineRule="exact"/>
            </w:pPr>
            <w:r>
              <w:rPr>
                <w:rFonts w:hint="eastAsia"/>
              </w:rPr>
              <w:t>キ</w:t>
            </w:r>
          </w:p>
        </w:tc>
        <w:tc>
          <w:tcPr>
            <w:tcW w:w="4820" w:type="dxa"/>
          </w:tcPr>
          <w:p w14:paraId="68921618" w14:textId="46AC5E08" w:rsidR="00AE754B" w:rsidRPr="008E2E52" w:rsidRDefault="00AE754B" w:rsidP="00E432F3">
            <w:pPr>
              <w:spacing w:line="280" w:lineRule="exact"/>
            </w:pPr>
            <w:r>
              <w:rPr>
                <w:rFonts w:hint="eastAsia"/>
              </w:rPr>
              <w:t>ディマンドレスポンスの取組</w:t>
            </w:r>
            <w:r w:rsidR="000364F4">
              <w:rPr>
                <w:rFonts w:hint="eastAsia"/>
              </w:rPr>
              <w:t>（</w:t>
            </w:r>
            <w:r w:rsidR="004902E9" w:rsidRPr="008E2E52">
              <w:t>該当する場合には右欄に「有」と記載した上で</w:t>
            </w:r>
            <w:r w:rsidR="004902E9">
              <w:rPr>
                <w:rFonts w:hint="eastAsia"/>
              </w:rPr>
              <w:t>、取組</w:t>
            </w:r>
            <w:r w:rsidR="00F86B2B" w:rsidRPr="00F86B2B">
              <w:rPr>
                <w:rFonts w:hint="eastAsia"/>
              </w:rPr>
              <w:t>内容の詳細を記載もしくは説明書類を添付すること。）</w:t>
            </w:r>
            <w:r w:rsidR="000364F4">
              <w:rPr>
                <w:rFonts w:hint="eastAsia"/>
              </w:rPr>
              <w:t>）</w:t>
            </w:r>
          </w:p>
        </w:tc>
        <w:tc>
          <w:tcPr>
            <w:tcW w:w="3112" w:type="dxa"/>
          </w:tcPr>
          <w:p w14:paraId="47667461" w14:textId="77777777" w:rsidR="00AE754B" w:rsidRDefault="00AE754B" w:rsidP="00E432F3">
            <w:pPr>
              <w:spacing w:line="280" w:lineRule="exact"/>
            </w:pPr>
          </w:p>
        </w:tc>
      </w:tr>
    </w:tbl>
    <w:p w14:paraId="17EFFD5A" w14:textId="02550720" w:rsidR="0042622A" w:rsidRPr="000F0BD2" w:rsidRDefault="006C24D7" w:rsidP="00652E8C">
      <w:pPr>
        <w:wordWrap w:val="0"/>
        <w:spacing w:line="280" w:lineRule="exact"/>
        <w:jc w:val="right"/>
      </w:pPr>
      <w:r w:rsidRPr="000B1159">
        <w:rPr>
          <w:rFonts w:hint="eastAsia"/>
          <w:i/>
          <w:iCs/>
          <w:color w:val="A6A6A6" w:themeColor="background1" w:themeShade="A6"/>
        </w:rPr>
        <w:t>※いずれかを調達者が選択</w:t>
      </w:r>
      <w:r w:rsidR="00652E8C">
        <w:rPr>
          <w:rFonts w:hint="eastAsia"/>
          <w:i/>
          <w:iCs/>
          <w:color w:val="A6A6A6" w:themeColor="background1" w:themeShade="A6"/>
        </w:rPr>
        <w:t xml:space="preserve">　　　　　　　　　　　　　　　　　　　　　　　　　　</w:t>
      </w:r>
      <w:r w:rsidR="0042622A">
        <w:rPr>
          <w:rFonts w:hint="eastAsia"/>
        </w:rPr>
        <w:t>以上</w:t>
      </w:r>
    </w:p>
    <w:sectPr w:rsidR="0042622A" w:rsidRPr="000F0B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10D5" w14:textId="77777777" w:rsidR="00E0633D" w:rsidRDefault="00E0633D" w:rsidP="0011322B">
      <w:pPr>
        <w:spacing w:after="0" w:line="240" w:lineRule="auto"/>
      </w:pPr>
      <w:r>
        <w:separator/>
      </w:r>
    </w:p>
  </w:endnote>
  <w:endnote w:type="continuationSeparator" w:id="0">
    <w:p w14:paraId="37358E73" w14:textId="77777777" w:rsidR="00E0633D" w:rsidRDefault="00E0633D" w:rsidP="00113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G丸ｺﾞｼｯｸM-PRO">
    <w:panose1 w:val="020F0600000000000000"/>
    <w:charset w:val="80"/>
    <w:family w:val="moder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EA47" w14:textId="77777777" w:rsidR="00E0633D" w:rsidRDefault="00E0633D" w:rsidP="0011322B">
      <w:pPr>
        <w:spacing w:after="0" w:line="240" w:lineRule="auto"/>
      </w:pPr>
      <w:r>
        <w:separator/>
      </w:r>
    </w:p>
  </w:footnote>
  <w:footnote w:type="continuationSeparator" w:id="0">
    <w:p w14:paraId="0D413479" w14:textId="77777777" w:rsidR="00E0633D" w:rsidRDefault="00E0633D" w:rsidP="0011322B">
      <w:pPr>
        <w:spacing w:after="0" w:line="240" w:lineRule="auto"/>
      </w:pPr>
      <w:r>
        <w:continuationSeparator/>
      </w:r>
    </w:p>
  </w:footnote>
  <w:footnote w:id="1">
    <w:p w14:paraId="5C68E0F1"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民間で取引されているグリーン電力・熱証書について、証書のCO</w:t>
      </w:r>
      <w:r w:rsidRPr="00E57F2E">
        <w:rPr>
          <w:rFonts w:hint="eastAsia"/>
          <w:sz w:val="18"/>
          <w:szCs w:val="18"/>
          <w:vertAlign w:val="subscript"/>
        </w:rPr>
        <w:t>2</w:t>
      </w:r>
      <w:r w:rsidRPr="00E57F2E">
        <w:rPr>
          <w:rFonts w:hint="eastAsia"/>
          <w:sz w:val="18"/>
          <w:szCs w:val="18"/>
        </w:rPr>
        <w:t>排出削減価値を国が認証することにより、温対法に基づく算定・報告・公表制度における国内認証排出削減量等として活用できるようにするもの。</w:t>
      </w:r>
    </w:p>
  </w:footnote>
  <w:footnote w:id="2">
    <w:p w14:paraId="3E8A7403"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グリーン電力に由来するグリーンエネルギーCO</w:t>
      </w:r>
      <w:r w:rsidRPr="00E57F2E">
        <w:rPr>
          <w:rFonts w:hint="eastAsia"/>
          <w:sz w:val="18"/>
          <w:szCs w:val="18"/>
          <w:vertAlign w:val="subscript"/>
        </w:rPr>
        <w:t>2</w:t>
      </w:r>
      <w:r w:rsidRPr="00E57F2E">
        <w:rPr>
          <w:rFonts w:hint="eastAsia"/>
          <w:sz w:val="18"/>
          <w:szCs w:val="18"/>
        </w:rPr>
        <w:t>削減相当量については、当該削減相当量として認証された自家消費電力量（kWh）とする。</w:t>
      </w:r>
    </w:p>
  </w:footnote>
  <w:footnote w:id="3">
    <w:p w14:paraId="60917799"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省エネルギー機器の導入や再生可能エネルギーの活用によるCO</w:t>
      </w:r>
      <w:r w:rsidRPr="00E57F2E">
        <w:rPr>
          <w:rFonts w:hint="eastAsia"/>
          <w:sz w:val="18"/>
          <w:szCs w:val="18"/>
          <w:vertAlign w:val="subscript"/>
        </w:rPr>
        <w:t>2</w:t>
      </w:r>
      <w:r w:rsidRPr="00E57F2E">
        <w:rPr>
          <w:rFonts w:hint="eastAsia"/>
          <w:sz w:val="18"/>
          <w:szCs w:val="18"/>
        </w:rPr>
        <w:t>等の排出削減量、適切な森林管理によるCO</w:t>
      </w:r>
      <w:r w:rsidRPr="00E57F2E">
        <w:rPr>
          <w:rFonts w:hint="eastAsia"/>
          <w:sz w:val="18"/>
          <w:szCs w:val="18"/>
          <w:vertAlign w:val="subscript"/>
        </w:rPr>
        <w:t>2</w:t>
      </w:r>
      <w:r w:rsidRPr="00E57F2E">
        <w:rPr>
          <w:rFonts w:hint="eastAsia"/>
          <w:sz w:val="18"/>
          <w:szCs w:val="18"/>
        </w:rPr>
        <w:t>等の吸収量を「クレジット」として国が認証する制度である。</w:t>
      </w:r>
    </w:p>
  </w:footnote>
  <w:footnote w:id="4">
    <w:p w14:paraId="47A6009F" w14:textId="77777777" w:rsidR="0011322B" w:rsidRPr="00E57F2E" w:rsidRDefault="0011322B" w:rsidP="00E57F2E">
      <w:pPr>
        <w:pStyle w:val="aa"/>
        <w:spacing w:after="0" w:line="220" w:lineRule="exact"/>
        <w:rPr>
          <w:sz w:val="18"/>
          <w:szCs w:val="18"/>
        </w:rPr>
      </w:pPr>
      <w:r w:rsidRPr="00E57F2E">
        <w:rPr>
          <w:rStyle w:val="ac"/>
          <w:sz w:val="18"/>
          <w:szCs w:val="18"/>
        </w:rPr>
        <w:footnoteRef/>
      </w:r>
      <w:r w:rsidRPr="00E57F2E">
        <w:rPr>
          <w:rFonts w:hint="eastAsia"/>
          <w:sz w:val="18"/>
          <w:szCs w:val="18"/>
        </w:rPr>
        <w:t xml:space="preserve"> 非化石価値取引市場には「再エネ価値取引市場」と「高度化法義務達成市場」があり、FIT非化石証書は「再エネ価値取引市場」で、非FIT非化石証書は「高度化法義務達成市場」でそれぞれ取り引きされている。</w:t>
      </w:r>
    </w:p>
  </w:footnote>
  <w:footnote w:id="5">
    <w:p w14:paraId="6F0263A8" w14:textId="77777777" w:rsidR="00FF4742" w:rsidRPr="00FF4742" w:rsidRDefault="002C4034" w:rsidP="00FF4742">
      <w:pPr>
        <w:pStyle w:val="aa"/>
        <w:spacing w:after="0" w:line="260" w:lineRule="exact"/>
        <w:rPr>
          <w:sz w:val="18"/>
          <w:szCs w:val="18"/>
        </w:rPr>
      </w:pPr>
      <w:r w:rsidRPr="00FF4742">
        <w:rPr>
          <w:rStyle w:val="ac"/>
          <w:sz w:val="18"/>
          <w:szCs w:val="18"/>
        </w:rPr>
        <w:footnoteRef/>
      </w:r>
      <w:r w:rsidRPr="00FF4742">
        <w:rPr>
          <w:sz w:val="18"/>
          <w:szCs w:val="18"/>
        </w:rPr>
        <w:t xml:space="preserve"> </w:t>
      </w:r>
      <w:r w:rsidR="00FF4742" w:rsidRPr="00FF4742">
        <w:rPr>
          <w:rFonts w:hint="eastAsia"/>
          <w:sz w:val="18"/>
          <w:szCs w:val="18"/>
        </w:rPr>
        <w:t>未利用エネルギーとは、発電に利用した次に掲げるエネルギー（他社電力購入に係る活用分を含む。（ただし、インバランス供給を受けた電力に含まれる未利用エネルギー活用分については含まない。））をいう。</w:t>
      </w:r>
    </w:p>
    <w:p w14:paraId="49B6042A" w14:textId="77777777" w:rsidR="00FF4742" w:rsidRPr="00FF4742" w:rsidRDefault="00FF4742" w:rsidP="00FF4742">
      <w:pPr>
        <w:pStyle w:val="aa"/>
        <w:spacing w:after="0" w:line="260" w:lineRule="exact"/>
        <w:rPr>
          <w:sz w:val="18"/>
          <w:szCs w:val="18"/>
        </w:rPr>
      </w:pPr>
      <w:r w:rsidRPr="00FF4742">
        <w:rPr>
          <w:rFonts w:hint="eastAsia"/>
          <w:sz w:val="18"/>
          <w:szCs w:val="18"/>
        </w:rPr>
        <w:t>①工場等の廃熱又は排圧</w:t>
      </w:r>
    </w:p>
    <w:p w14:paraId="66CA9AE5" w14:textId="77777777" w:rsidR="00FF4742" w:rsidRPr="00FF4742" w:rsidRDefault="00FF4742" w:rsidP="00FF4742">
      <w:pPr>
        <w:pStyle w:val="aa"/>
        <w:spacing w:after="0" w:line="260" w:lineRule="exact"/>
        <w:rPr>
          <w:sz w:val="18"/>
          <w:szCs w:val="18"/>
        </w:rPr>
      </w:pPr>
      <w:r w:rsidRPr="00FF4742">
        <w:rPr>
          <w:rFonts w:hint="eastAsia"/>
          <w:sz w:val="18"/>
          <w:szCs w:val="18"/>
        </w:rPr>
        <w:t>②廃棄物の燃焼に伴い発生する熱（再生可能エネルギー電気の利用の促進に関する特別措置法（平成</w:t>
      </w:r>
      <w:r w:rsidRPr="00FF4742">
        <w:rPr>
          <w:sz w:val="18"/>
          <w:szCs w:val="18"/>
        </w:rPr>
        <w:t>23年法律第108号。以下「再エネ特措法」という。）第2条第3項において定める再生可能エネルギー源に該当するものを除く。）</w:t>
      </w:r>
    </w:p>
    <w:p w14:paraId="084884BC" w14:textId="05A522A7" w:rsidR="002C4034" w:rsidRPr="00FF4742" w:rsidRDefault="00FF4742" w:rsidP="00FF4742">
      <w:pPr>
        <w:pStyle w:val="aa"/>
        <w:spacing w:after="0" w:line="260" w:lineRule="exact"/>
        <w:rPr>
          <w:sz w:val="18"/>
          <w:szCs w:val="18"/>
        </w:rPr>
      </w:pPr>
      <w:r w:rsidRPr="00FF4742">
        <w:rPr>
          <w:rFonts w:hint="eastAsia"/>
          <w:sz w:val="18"/>
          <w:szCs w:val="18"/>
        </w:rPr>
        <w:t>③高炉ガス又は副生ガス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45C2F"/>
    <w:multiLevelType w:val="hybridMultilevel"/>
    <w:tmpl w:val="C2305AD4"/>
    <w:lvl w:ilvl="0" w:tplc="FFFFFFFF">
      <w:start w:val="1"/>
      <w:numFmt w:val="bullet"/>
      <w:lvlText w:val=""/>
      <w:lvlJc w:val="left"/>
      <w:pPr>
        <w:tabs>
          <w:tab w:val="num" w:pos="618"/>
        </w:tabs>
        <w:ind w:left="618" w:hanging="397"/>
      </w:pPr>
      <w:rPr>
        <w:rFonts w:ascii="Wingdings" w:hAnsi="Wingdings" w:hint="default"/>
        <w:color w:val="auto"/>
      </w:rPr>
    </w:lvl>
    <w:lvl w:ilvl="1" w:tplc="04090009">
      <w:start w:val="1"/>
      <w:numFmt w:val="bullet"/>
      <w:lvlText w:val=""/>
      <w:lvlJc w:val="left"/>
      <w:pPr>
        <w:ind w:left="860" w:hanging="44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5FD00DC"/>
    <w:multiLevelType w:val="hybridMultilevel"/>
    <w:tmpl w:val="E81E7CD4"/>
    <w:lvl w:ilvl="0" w:tplc="8D1026A4">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08B78DD"/>
    <w:multiLevelType w:val="hybridMultilevel"/>
    <w:tmpl w:val="CDF0FC24"/>
    <w:lvl w:ilvl="0" w:tplc="93AC933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63B74FB"/>
    <w:multiLevelType w:val="hybridMultilevel"/>
    <w:tmpl w:val="ABEE5F54"/>
    <w:lvl w:ilvl="0" w:tplc="B8342F7A">
      <w:start w:val="1"/>
      <w:numFmt w:val="decimalFullWidth"/>
      <w:lvlText w:val="（%1．"/>
      <w:lvlJc w:val="left"/>
      <w:pPr>
        <w:ind w:left="436" w:hanging="720"/>
      </w:pPr>
      <w:rPr>
        <w:rFonts w:hint="default"/>
      </w:rPr>
    </w:lvl>
    <w:lvl w:ilvl="1" w:tplc="04090017" w:tentative="1">
      <w:start w:val="1"/>
      <w:numFmt w:val="aiueoFullWidth"/>
      <w:lvlText w:val="(%2)"/>
      <w:lvlJc w:val="left"/>
      <w:pPr>
        <w:ind w:left="596" w:hanging="440"/>
      </w:pPr>
    </w:lvl>
    <w:lvl w:ilvl="2" w:tplc="04090011" w:tentative="1">
      <w:start w:val="1"/>
      <w:numFmt w:val="decimalEnclosedCircle"/>
      <w:lvlText w:val="%3"/>
      <w:lvlJc w:val="left"/>
      <w:pPr>
        <w:ind w:left="1036" w:hanging="440"/>
      </w:pPr>
    </w:lvl>
    <w:lvl w:ilvl="3" w:tplc="0409000F" w:tentative="1">
      <w:start w:val="1"/>
      <w:numFmt w:val="decimal"/>
      <w:lvlText w:val="%4."/>
      <w:lvlJc w:val="left"/>
      <w:pPr>
        <w:ind w:left="1476" w:hanging="440"/>
      </w:pPr>
    </w:lvl>
    <w:lvl w:ilvl="4" w:tplc="04090017" w:tentative="1">
      <w:start w:val="1"/>
      <w:numFmt w:val="aiueoFullWidth"/>
      <w:lvlText w:val="(%5)"/>
      <w:lvlJc w:val="left"/>
      <w:pPr>
        <w:ind w:left="1916" w:hanging="440"/>
      </w:pPr>
    </w:lvl>
    <w:lvl w:ilvl="5" w:tplc="04090011" w:tentative="1">
      <w:start w:val="1"/>
      <w:numFmt w:val="decimalEnclosedCircle"/>
      <w:lvlText w:val="%6"/>
      <w:lvlJc w:val="left"/>
      <w:pPr>
        <w:ind w:left="2356" w:hanging="440"/>
      </w:pPr>
    </w:lvl>
    <w:lvl w:ilvl="6" w:tplc="0409000F" w:tentative="1">
      <w:start w:val="1"/>
      <w:numFmt w:val="decimal"/>
      <w:lvlText w:val="%7."/>
      <w:lvlJc w:val="left"/>
      <w:pPr>
        <w:ind w:left="2796" w:hanging="440"/>
      </w:pPr>
    </w:lvl>
    <w:lvl w:ilvl="7" w:tplc="04090017" w:tentative="1">
      <w:start w:val="1"/>
      <w:numFmt w:val="aiueoFullWidth"/>
      <w:lvlText w:val="(%8)"/>
      <w:lvlJc w:val="left"/>
      <w:pPr>
        <w:ind w:left="3236" w:hanging="440"/>
      </w:pPr>
    </w:lvl>
    <w:lvl w:ilvl="8" w:tplc="04090011" w:tentative="1">
      <w:start w:val="1"/>
      <w:numFmt w:val="decimalEnclosedCircle"/>
      <w:lvlText w:val="%9"/>
      <w:lvlJc w:val="left"/>
      <w:pPr>
        <w:ind w:left="3676" w:hanging="440"/>
      </w:pPr>
    </w:lvl>
  </w:abstractNum>
  <w:num w:numId="1" w16cid:durableId="1393429339">
    <w:abstractNumId w:val="1"/>
  </w:num>
  <w:num w:numId="2" w16cid:durableId="778991195">
    <w:abstractNumId w:val="2"/>
  </w:num>
  <w:num w:numId="3" w16cid:durableId="429854124">
    <w:abstractNumId w:val="0"/>
  </w:num>
  <w:num w:numId="4" w16cid:durableId="493647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B7C"/>
    <w:rsid w:val="00002A73"/>
    <w:rsid w:val="00006E03"/>
    <w:rsid w:val="000364F4"/>
    <w:rsid w:val="00037AE2"/>
    <w:rsid w:val="00043F14"/>
    <w:rsid w:val="00065613"/>
    <w:rsid w:val="00094C74"/>
    <w:rsid w:val="000B1159"/>
    <w:rsid w:val="000C64BC"/>
    <w:rsid w:val="000D5365"/>
    <w:rsid w:val="000F0BD2"/>
    <w:rsid w:val="000F1F25"/>
    <w:rsid w:val="000F711E"/>
    <w:rsid w:val="0011322B"/>
    <w:rsid w:val="00127054"/>
    <w:rsid w:val="00133950"/>
    <w:rsid w:val="00180BE2"/>
    <w:rsid w:val="00181931"/>
    <w:rsid w:val="00184C1B"/>
    <w:rsid w:val="001A0F48"/>
    <w:rsid w:val="001C07FA"/>
    <w:rsid w:val="001D6478"/>
    <w:rsid w:val="00216D26"/>
    <w:rsid w:val="002215E7"/>
    <w:rsid w:val="00223E23"/>
    <w:rsid w:val="00256FC6"/>
    <w:rsid w:val="00262BF6"/>
    <w:rsid w:val="002675AF"/>
    <w:rsid w:val="00272D2D"/>
    <w:rsid w:val="002934EF"/>
    <w:rsid w:val="00293648"/>
    <w:rsid w:val="00296E14"/>
    <w:rsid w:val="002C12ED"/>
    <w:rsid w:val="002C4034"/>
    <w:rsid w:val="002D1C70"/>
    <w:rsid w:val="002E7D0F"/>
    <w:rsid w:val="002F17CA"/>
    <w:rsid w:val="002F3491"/>
    <w:rsid w:val="002F3AE1"/>
    <w:rsid w:val="003026C6"/>
    <w:rsid w:val="00307DC9"/>
    <w:rsid w:val="00320262"/>
    <w:rsid w:val="0032764E"/>
    <w:rsid w:val="003409AE"/>
    <w:rsid w:val="00351E04"/>
    <w:rsid w:val="00360472"/>
    <w:rsid w:val="00390AAC"/>
    <w:rsid w:val="003C528A"/>
    <w:rsid w:val="003D4BD3"/>
    <w:rsid w:val="0040702A"/>
    <w:rsid w:val="0042622A"/>
    <w:rsid w:val="00427706"/>
    <w:rsid w:val="00432EAB"/>
    <w:rsid w:val="0044439E"/>
    <w:rsid w:val="0046145A"/>
    <w:rsid w:val="00477D71"/>
    <w:rsid w:val="004902E9"/>
    <w:rsid w:val="004A74DC"/>
    <w:rsid w:val="004C05EA"/>
    <w:rsid w:val="004C1DB9"/>
    <w:rsid w:val="004C6B7C"/>
    <w:rsid w:val="004D14DB"/>
    <w:rsid w:val="004E5B2A"/>
    <w:rsid w:val="00501695"/>
    <w:rsid w:val="00501B39"/>
    <w:rsid w:val="005250E9"/>
    <w:rsid w:val="00525B4D"/>
    <w:rsid w:val="00555E28"/>
    <w:rsid w:val="005573FF"/>
    <w:rsid w:val="00564EF1"/>
    <w:rsid w:val="00577530"/>
    <w:rsid w:val="00590CC1"/>
    <w:rsid w:val="005B3053"/>
    <w:rsid w:val="005C6647"/>
    <w:rsid w:val="005C7ACA"/>
    <w:rsid w:val="005D2E9D"/>
    <w:rsid w:val="005E3E92"/>
    <w:rsid w:val="006107BD"/>
    <w:rsid w:val="006229F2"/>
    <w:rsid w:val="00637E34"/>
    <w:rsid w:val="00652E8C"/>
    <w:rsid w:val="0067143C"/>
    <w:rsid w:val="00691D05"/>
    <w:rsid w:val="006B2BB2"/>
    <w:rsid w:val="006B360D"/>
    <w:rsid w:val="006B4789"/>
    <w:rsid w:val="006C000D"/>
    <w:rsid w:val="006C24D7"/>
    <w:rsid w:val="006C3C5B"/>
    <w:rsid w:val="006C4511"/>
    <w:rsid w:val="006D231C"/>
    <w:rsid w:val="006E59B5"/>
    <w:rsid w:val="006F57B8"/>
    <w:rsid w:val="0073006B"/>
    <w:rsid w:val="007634E4"/>
    <w:rsid w:val="00765908"/>
    <w:rsid w:val="007B208E"/>
    <w:rsid w:val="007E0E3C"/>
    <w:rsid w:val="007E5087"/>
    <w:rsid w:val="007E69C7"/>
    <w:rsid w:val="007F6C25"/>
    <w:rsid w:val="00835255"/>
    <w:rsid w:val="00843B96"/>
    <w:rsid w:val="008572BE"/>
    <w:rsid w:val="00872716"/>
    <w:rsid w:val="0088653F"/>
    <w:rsid w:val="008C1031"/>
    <w:rsid w:val="008E0F46"/>
    <w:rsid w:val="008E2E52"/>
    <w:rsid w:val="008E41ED"/>
    <w:rsid w:val="008E480D"/>
    <w:rsid w:val="00903C62"/>
    <w:rsid w:val="009237EE"/>
    <w:rsid w:val="00930B04"/>
    <w:rsid w:val="0093723F"/>
    <w:rsid w:val="009449B5"/>
    <w:rsid w:val="0095439E"/>
    <w:rsid w:val="00955864"/>
    <w:rsid w:val="00982CC5"/>
    <w:rsid w:val="009B14E9"/>
    <w:rsid w:val="009C1D2E"/>
    <w:rsid w:val="009D1307"/>
    <w:rsid w:val="009D18FB"/>
    <w:rsid w:val="009F5DCB"/>
    <w:rsid w:val="00A255FA"/>
    <w:rsid w:val="00A34473"/>
    <w:rsid w:val="00A34553"/>
    <w:rsid w:val="00A35450"/>
    <w:rsid w:val="00A475C1"/>
    <w:rsid w:val="00A55FA4"/>
    <w:rsid w:val="00A56628"/>
    <w:rsid w:val="00A60C06"/>
    <w:rsid w:val="00AB6EBA"/>
    <w:rsid w:val="00AC1458"/>
    <w:rsid w:val="00AD7C80"/>
    <w:rsid w:val="00AE754B"/>
    <w:rsid w:val="00AF56A4"/>
    <w:rsid w:val="00B02321"/>
    <w:rsid w:val="00B05FC6"/>
    <w:rsid w:val="00B44411"/>
    <w:rsid w:val="00B46C3F"/>
    <w:rsid w:val="00B51D09"/>
    <w:rsid w:val="00B63EA2"/>
    <w:rsid w:val="00B656D0"/>
    <w:rsid w:val="00B65C67"/>
    <w:rsid w:val="00B71075"/>
    <w:rsid w:val="00B80596"/>
    <w:rsid w:val="00B94CFE"/>
    <w:rsid w:val="00BA367D"/>
    <w:rsid w:val="00BB519F"/>
    <w:rsid w:val="00BD4219"/>
    <w:rsid w:val="00BF0B4B"/>
    <w:rsid w:val="00C117BE"/>
    <w:rsid w:val="00C30BAE"/>
    <w:rsid w:val="00C3725F"/>
    <w:rsid w:val="00C625B3"/>
    <w:rsid w:val="00C9648A"/>
    <w:rsid w:val="00CA5E46"/>
    <w:rsid w:val="00CB7A3D"/>
    <w:rsid w:val="00CB7C32"/>
    <w:rsid w:val="00CC60BD"/>
    <w:rsid w:val="00CD17FD"/>
    <w:rsid w:val="00CE0F2C"/>
    <w:rsid w:val="00D16CED"/>
    <w:rsid w:val="00D52F84"/>
    <w:rsid w:val="00D82083"/>
    <w:rsid w:val="00D9507B"/>
    <w:rsid w:val="00DB7EE4"/>
    <w:rsid w:val="00DC1B7D"/>
    <w:rsid w:val="00DC2F0F"/>
    <w:rsid w:val="00DC33C2"/>
    <w:rsid w:val="00DD4D0C"/>
    <w:rsid w:val="00DE510A"/>
    <w:rsid w:val="00DE7E7E"/>
    <w:rsid w:val="00E00686"/>
    <w:rsid w:val="00E0633D"/>
    <w:rsid w:val="00E06BCF"/>
    <w:rsid w:val="00E070F9"/>
    <w:rsid w:val="00E432F3"/>
    <w:rsid w:val="00E53A02"/>
    <w:rsid w:val="00E57F2E"/>
    <w:rsid w:val="00E76D6C"/>
    <w:rsid w:val="00EC6D3E"/>
    <w:rsid w:val="00EE5E95"/>
    <w:rsid w:val="00F05420"/>
    <w:rsid w:val="00F2116A"/>
    <w:rsid w:val="00F24EBA"/>
    <w:rsid w:val="00F44DFE"/>
    <w:rsid w:val="00F5363D"/>
    <w:rsid w:val="00F67CB8"/>
    <w:rsid w:val="00F766D5"/>
    <w:rsid w:val="00F82504"/>
    <w:rsid w:val="00F86B2B"/>
    <w:rsid w:val="00FF4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1F12B1"/>
  <w15:chartTrackingRefBased/>
  <w15:docId w15:val="{74648DCF-B86C-4F00-BD5B-229A322F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C6B7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C6B7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C6B7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C6B7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C6B7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nhideWhenUsed/>
    <w:qFormat/>
    <w:rsid w:val="004C6B7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C6B7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C6B7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C6B7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C6B7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C6B7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C6B7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C6B7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C6B7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C6B7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C6B7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C6B7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C6B7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C6B7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C6B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6B7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C6B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6B7C"/>
    <w:pPr>
      <w:spacing w:before="160"/>
      <w:jc w:val="center"/>
    </w:pPr>
    <w:rPr>
      <w:i/>
      <w:iCs/>
      <w:color w:val="404040" w:themeColor="text1" w:themeTint="BF"/>
    </w:rPr>
  </w:style>
  <w:style w:type="character" w:customStyle="1" w:styleId="a8">
    <w:name w:val="引用文 (文字)"/>
    <w:basedOn w:val="a0"/>
    <w:link w:val="a7"/>
    <w:uiPriority w:val="29"/>
    <w:rsid w:val="004C6B7C"/>
    <w:rPr>
      <w:i/>
      <w:iCs/>
      <w:color w:val="404040" w:themeColor="text1" w:themeTint="BF"/>
    </w:rPr>
  </w:style>
  <w:style w:type="paragraph" w:styleId="a9">
    <w:name w:val="List Paragraph"/>
    <w:basedOn w:val="a"/>
    <w:uiPriority w:val="34"/>
    <w:qFormat/>
    <w:rsid w:val="004C6B7C"/>
    <w:pPr>
      <w:ind w:left="720"/>
      <w:contextualSpacing/>
    </w:pPr>
  </w:style>
  <w:style w:type="character" w:styleId="21">
    <w:name w:val="Intense Emphasis"/>
    <w:basedOn w:val="a0"/>
    <w:uiPriority w:val="21"/>
    <w:qFormat/>
    <w:rsid w:val="004C6B7C"/>
    <w:rPr>
      <w:i/>
      <w:iCs/>
      <w:color w:val="0F4761" w:themeColor="accent1" w:themeShade="BF"/>
    </w:rPr>
  </w:style>
  <w:style w:type="paragraph" w:styleId="22">
    <w:name w:val="Intense Quote"/>
    <w:basedOn w:val="a"/>
    <w:next w:val="a"/>
    <w:link w:val="23"/>
    <w:uiPriority w:val="30"/>
    <w:qFormat/>
    <w:rsid w:val="004C6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C6B7C"/>
    <w:rPr>
      <w:i/>
      <w:iCs/>
      <w:color w:val="0F4761" w:themeColor="accent1" w:themeShade="BF"/>
    </w:rPr>
  </w:style>
  <w:style w:type="character" w:styleId="24">
    <w:name w:val="Intense Reference"/>
    <w:basedOn w:val="a0"/>
    <w:uiPriority w:val="32"/>
    <w:qFormat/>
    <w:rsid w:val="004C6B7C"/>
    <w:rPr>
      <w:b/>
      <w:bCs/>
      <w:smallCaps/>
      <w:color w:val="0F4761" w:themeColor="accent1" w:themeShade="BF"/>
      <w:spacing w:val="5"/>
    </w:rPr>
  </w:style>
  <w:style w:type="paragraph" w:styleId="aa">
    <w:name w:val="footnote text"/>
    <w:basedOn w:val="a"/>
    <w:link w:val="ab"/>
    <w:uiPriority w:val="99"/>
    <w:semiHidden/>
    <w:unhideWhenUsed/>
    <w:rsid w:val="0011322B"/>
    <w:pPr>
      <w:snapToGrid w:val="0"/>
    </w:pPr>
  </w:style>
  <w:style w:type="character" w:customStyle="1" w:styleId="ab">
    <w:name w:val="脚注文字列 (文字)"/>
    <w:basedOn w:val="a0"/>
    <w:link w:val="aa"/>
    <w:uiPriority w:val="99"/>
    <w:semiHidden/>
    <w:rsid w:val="0011322B"/>
  </w:style>
  <w:style w:type="character" w:styleId="ac">
    <w:name w:val="footnote reference"/>
    <w:semiHidden/>
    <w:rsid w:val="0011322B"/>
    <w:rPr>
      <w:vertAlign w:val="superscript"/>
    </w:rPr>
  </w:style>
  <w:style w:type="paragraph" w:styleId="ad">
    <w:name w:val="Normal Indent"/>
    <w:basedOn w:val="a"/>
    <w:rsid w:val="0011322B"/>
    <w:pPr>
      <w:adjustRightInd w:val="0"/>
      <w:spacing w:after="0" w:line="360" w:lineRule="atLeast"/>
      <w:ind w:left="216" w:firstLine="216"/>
      <w:jc w:val="both"/>
      <w:textAlignment w:val="baseline"/>
    </w:pPr>
    <w:rPr>
      <w:rFonts w:ascii="Times New Roman" w:eastAsia="ＭＳ 明朝" w:hAnsi="Times New Roman" w:cs="Times New Roman"/>
      <w:kern w:val="0"/>
      <w:szCs w:val="20"/>
      <w14:ligatures w14:val="none"/>
    </w:rPr>
  </w:style>
  <w:style w:type="paragraph" w:styleId="ae">
    <w:name w:val="header"/>
    <w:basedOn w:val="a"/>
    <w:link w:val="af"/>
    <w:uiPriority w:val="99"/>
    <w:unhideWhenUsed/>
    <w:rsid w:val="00982CC5"/>
    <w:pPr>
      <w:tabs>
        <w:tab w:val="center" w:pos="4252"/>
        <w:tab w:val="right" w:pos="8504"/>
      </w:tabs>
      <w:snapToGrid w:val="0"/>
    </w:pPr>
  </w:style>
  <w:style w:type="character" w:customStyle="1" w:styleId="af">
    <w:name w:val="ヘッダー (文字)"/>
    <w:basedOn w:val="a0"/>
    <w:link w:val="ae"/>
    <w:uiPriority w:val="99"/>
    <w:rsid w:val="00982CC5"/>
  </w:style>
  <w:style w:type="paragraph" w:styleId="af0">
    <w:name w:val="footer"/>
    <w:basedOn w:val="a"/>
    <w:link w:val="af1"/>
    <w:uiPriority w:val="99"/>
    <w:unhideWhenUsed/>
    <w:rsid w:val="00982CC5"/>
    <w:pPr>
      <w:tabs>
        <w:tab w:val="center" w:pos="4252"/>
        <w:tab w:val="right" w:pos="8504"/>
      </w:tabs>
      <w:snapToGrid w:val="0"/>
    </w:pPr>
  </w:style>
  <w:style w:type="character" w:customStyle="1" w:styleId="af1">
    <w:name w:val="フッター (文字)"/>
    <w:basedOn w:val="a0"/>
    <w:link w:val="af0"/>
    <w:uiPriority w:val="99"/>
    <w:rsid w:val="00982CC5"/>
  </w:style>
  <w:style w:type="paragraph" w:styleId="af2">
    <w:name w:val="Body Text"/>
    <w:basedOn w:val="a"/>
    <w:link w:val="af3"/>
    <w:uiPriority w:val="99"/>
    <w:semiHidden/>
    <w:unhideWhenUsed/>
    <w:rsid w:val="00A60C06"/>
  </w:style>
  <w:style w:type="character" w:customStyle="1" w:styleId="af3">
    <w:name w:val="本文 (文字)"/>
    <w:basedOn w:val="a0"/>
    <w:link w:val="af2"/>
    <w:uiPriority w:val="99"/>
    <w:semiHidden/>
    <w:rsid w:val="00A60C06"/>
  </w:style>
  <w:style w:type="paragraph" w:styleId="af4">
    <w:name w:val="Body Text First Indent"/>
    <w:basedOn w:val="af2"/>
    <w:link w:val="af5"/>
    <w:rsid w:val="00A60C06"/>
    <w:pPr>
      <w:adjustRightInd w:val="0"/>
      <w:snapToGrid w:val="0"/>
      <w:spacing w:after="0" w:line="360" w:lineRule="atLeast"/>
      <w:ind w:left="100" w:firstLineChars="100" w:firstLine="100"/>
      <w:jc w:val="both"/>
      <w:textAlignment w:val="baseline"/>
    </w:pPr>
    <w:rPr>
      <w:rFonts w:ascii="Times New Roman" w:eastAsia="ＭＳ 明朝" w:hAnsi="Times New Roman" w:cs="Times New Roman"/>
      <w:kern w:val="0"/>
      <w:szCs w:val="20"/>
      <w14:ligatures w14:val="none"/>
    </w:rPr>
  </w:style>
  <w:style w:type="character" w:customStyle="1" w:styleId="af5">
    <w:name w:val="本文字下げ (文字)"/>
    <w:basedOn w:val="af3"/>
    <w:link w:val="af4"/>
    <w:rsid w:val="00A60C06"/>
    <w:rPr>
      <w:rFonts w:ascii="Times New Roman" w:eastAsia="ＭＳ 明朝" w:hAnsi="Times New Roman" w:cs="Times New Roman"/>
      <w:kern w:val="0"/>
      <w:szCs w:val="20"/>
      <w14:ligatures w14:val="none"/>
    </w:rPr>
  </w:style>
  <w:style w:type="paragraph" w:styleId="af6">
    <w:name w:val="caption"/>
    <w:basedOn w:val="a"/>
    <w:next w:val="a"/>
    <w:qFormat/>
    <w:rsid w:val="00A60C06"/>
    <w:pPr>
      <w:adjustRightInd w:val="0"/>
      <w:spacing w:before="120" w:after="120" w:line="360" w:lineRule="atLeast"/>
      <w:jc w:val="center"/>
      <w:textAlignment w:val="baseline"/>
    </w:pPr>
    <w:rPr>
      <w:rFonts w:ascii="Times New Roman" w:eastAsia="ＭＳ ゴシック" w:hAnsi="Times New Roman" w:cs="Times New Roman"/>
      <w:kern w:val="0"/>
      <w:szCs w:val="20"/>
      <w14:ligatures w14:val="none"/>
    </w:rPr>
  </w:style>
  <w:style w:type="paragraph" w:styleId="af7">
    <w:name w:val="Date"/>
    <w:basedOn w:val="a"/>
    <w:next w:val="a"/>
    <w:link w:val="af8"/>
    <w:uiPriority w:val="99"/>
    <w:semiHidden/>
    <w:unhideWhenUsed/>
    <w:rsid w:val="00D82083"/>
  </w:style>
  <w:style w:type="character" w:customStyle="1" w:styleId="af8">
    <w:name w:val="日付 (文字)"/>
    <w:basedOn w:val="a0"/>
    <w:link w:val="af7"/>
    <w:uiPriority w:val="99"/>
    <w:semiHidden/>
    <w:rsid w:val="00D82083"/>
  </w:style>
  <w:style w:type="paragraph" w:styleId="af9">
    <w:name w:val="Note Heading"/>
    <w:basedOn w:val="a"/>
    <w:next w:val="a"/>
    <w:link w:val="afa"/>
    <w:uiPriority w:val="99"/>
    <w:unhideWhenUsed/>
    <w:rsid w:val="0042622A"/>
    <w:pPr>
      <w:jc w:val="center"/>
    </w:pPr>
  </w:style>
  <w:style w:type="character" w:customStyle="1" w:styleId="afa">
    <w:name w:val="記 (文字)"/>
    <w:basedOn w:val="a0"/>
    <w:link w:val="af9"/>
    <w:uiPriority w:val="99"/>
    <w:rsid w:val="0042622A"/>
  </w:style>
  <w:style w:type="paragraph" w:styleId="afb">
    <w:name w:val="Closing"/>
    <w:basedOn w:val="a"/>
    <w:link w:val="afc"/>
    <w:uiPriority w:val="99"/>
    <w:unhideWhenUsed/>
    <w:rsid w:val="0042622A"/>
    <w:pPr>
      <w:jc w:val="right"/>
    </w:pPr>
  </w:style>
  <w:style w:type="character" w:customStyle="1" w:styleId="afc">
    <w:name w:val="結語 (文字)"/>
    <w:basedOn w:val="a0"/>
    <w:link w:val="afb"/>
    <w:uiPriority w:val="99"/>
    <w:rsid w:val="0042622A"/>
  </w:style>
  <w:style w:type="table" w:styleId="afd">
    <w:name w:val="Table Grid"/>
    <w:basedOn w:val="a1"/>
    <w:uiPriority w:val="39"/>
    <w:rsid w:val="006C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8C42-5E0E-4AD9-801F-563E21FE7876}">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53FA646D-0E5C-4F86-BCA3-ECE483568583}">
  <ds:schemaRefs>
    <ds:schemaRef ds:uri="http://schemas.microsoft.com/sharepoint/v3/contenttype/forms"/>
  </ds:schemaRefs>
</ds:datastoreItem>
</file>

<file path=customXml/itemProps3.xml><?xml version="1.0" encoding="utf-8"?>
<ds:datastoreItem xmlns:ds="http://schemas.openxmlformats.org/officeDocument/2006/customXml" ds:itemID="{F589D197-EE27-44DC-8F27-B937AEC8D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95A77-58B9-43B5-A416-BDBCC5D3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12</Pages>
  <Words>2774</Words>
  <Characters>2942</Characters>
  <Application>Microsoft Office Word</Application>
  <DocSecurity>0</DocSecurity>
  <Lines>173</Lines>
  <Paragraphs>163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原 安由子(HARA Ayuko)</cp:lastModifiedBy>
  <cp:revision>155</cp:revision>
  <dcterms:created xsi:type="dcterms:W3CDTF">2025-11-17T01:04:00Z</dcterms:created>
  <dcterms:modified xsi:type="dcterms:W3CDTF">2026-05-27T04:42:00Z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